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C245" w14:textId="77777777" w:rsidR="00000000" w:rsidRDefault="00453294">
      <w:pPr>
        <w:jc w:val="center"/>
      </w:pPr>
      <w:r>
        <w:rPr>
          <w:b/>
          <w:bCs/>
          <w:sz w:val="28"/>
          <w:szCs w:val="28"/>
          <w:u w:val="single"/>
        </w:rPr>
        <w:t xml:space="preserve">Training Module Syllabus:  Introduction to immunization systems </w:t>
      </w:r>
    </w:p>
    <w:p w14:paraId="6D44A582" w14:textId="77777777" w:rsidR="00000000" w:rsidRDefault="00453294">
      <w:pPr>
        <w:rPr>
          <w:i/>
          <w:iCs/>
        </w:rPr>
      </w:pPr>
      <w:r>
        <w:rPr>
          <w:i/>
          <w:iCs/>
        </w:rPr>
        <w:t>Last updated:  July 2021</w:t>
      </w:r>
    </w:p>
    <w:p w14:paraId="7D8E6143" w14:textId="77777777" w:rsidR="00000000" w:rsidRDefault="00453294">
      <w:r>
        <w:rPr>
          <w:i/>
          <w:iCs/>
        </w:rPr>
        <w:t>Contact person:  Aaron Wallace; ccu7@cdc</w:t>
      </w:r>
    </w:p>
    <w:p w14:paraId="5A363D0D" w14:textId="03A7039A" w:rsidR="00000000" w:rsidRDefault="00453294">
      <w:r>
        <w:rPr>
          <w:i/>
          <w:iCs/>
        </w:rPr>
        <w:t>[</w:t>
      </w:r>
      <w:hyperlink r:id="rId5" w:history="1">
        <w:r>
          <w:rPr>
            <w:rStyle w:val="Hyperlink"/>
            <w:i/>
            <w:iCs/>
          </w:rPr>
          <w:t xml:space="preserve">Download </w:t>
        </w:r>
        <w:r>
          <w:rPr>
            <w:rStyle w:val="Hyperlink"/>
            <w:i/>
            <w:iCs/>
          </w:rPr>
          <w:t>Word document of this training syllabus</w:t>
        </w:r>
      </w:hyperlink>
      <w:r>
        <w:rPr>
          <w:i/>
          <w:iCs/>
        </w:rPr>
        <w:t>]</w:t>
      </w:r>
    </w:p>
    <w:p w14:paraId="6DD10359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>About this training module</w:t>
      </w:r>
    </w:p>
    <w:p w14:paraId="067A4F31" w14:textId="77777777" w:rsidR="00000000" w:rsidRDefault="00453294">
      <w:r>
        <w:t xml:space="preserve"> The purpose of this training is to provide a step-by-step introduction to global routine immunization (RI) systems.  </w:t>
      </w:r>
    </w:p>
    <w:p w14:paraId="1D3CC6F8" w14:textId="77777777" w:rsidR="00000000" w:rsidRDefault="00453294">
      <w:r>
        <w:t>This training covers the following main areas:</w:t>
      </w:r>
    </w:p>
    <w:p w14:paraId="3FA9EC77" w14:textId="77777777" w:rsidR="00000000" w:rsidRDefault="00453294">
      <w:pPr>
        <w:pStyle w:val="ListParagraph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Overview of i</w:t>
      </w:r>
      <w:r>
        <w:t>mmunization systems worldwide</w:t>
      </w:r>
    </w:p>
    <w:p w14:paraId="74E158EF" w14:textId="77777777" w:rsidR="00000000" w:rsidRDefault="00453294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Critical components of the immunization system</w:t>
      </w:r>
    </w:p>
    <w:p w14:paraId="041DC283" w14:textId="77777777" w:rsidR="00000000" w:rsidRDefault="00453294">
      <w:pPr>
        <w:pStyle w:val="ListParagraph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Common challenges, research areas and key solutions to implementing an immunization system</w:t>
      </w:r>
    </w:p>
    <w:p w14:paraId="04BBCE78" w14:textId="77777777" w:rsidR="00000000" w:rsidRDefault="00453294">
      <w:pPr>
        <w:pStyle w:val="ListParagraph"/>
        <w:ind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Global historical performance of immunization systems</w:t>
      </w:r>
    </w:p>
    <w:p w14:paraId="33EC91E2" w14:textId="77777777" w:rsidR="00000000" w:rsidRDefault="00453294">
      <w:pPr>
        <w:pStyle w:val="ListParagraph"/>
        <w:ind w:hanging="360"/>
      </w:pPr>
      <w:r>
        <w:t>5.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Times New Roman" w:hAnsi="Times New Roman"/>
          <w:sz w:val="14"/>
          <w:szCs w:val="14"/>
        </w:rPr>
        <w:t xml:space="preserve">  </w:t>
      </w:r>
      <w:r>
        <w:t>Global strategic frameworks for implementing immunization systems</w:t>
      </w:r>
    </w:p>
    <w:p w14:paraId="15A55F19" w14:textId="77777777" w:rsidR="00000000" w:rsidRDefault="00453294">
      <w:pPr>
        <w:pStyle w:val="ListParagraph"/>
        <w:ind w:hanging="360"/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Global organizations supporting immunization systems, including key formal and informal groups organized to share knowledge, guide policymaking for immunization and key meetings</w:t>
      </w:r>
    </w:p>
    <w:p w14:paraId="043E0D50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>H</w:t>
      </w:r>
      <w:r>
        <w:rPr>
          <w:rFonts w:eastAsia="Times New Roman"/>
        </w:rPr>
        <w:t>ow to use this training module</w:t>
      </w:r>
    </w:p>
    <w:p w14:paraId="5B9177A0" w14:textId="40CEAE22" w:rsidR="00000000" w:rsidRDefault="00453294">
      <w:r>
        <w:t>This training module is organized such that there is a core curriculum you should start with to become familiar with the world of immunization services.  The curriculum is listed so that each section builds on the previous on</w:t>
      </w:r>
      <w:r>
        <w:t>e.  If you are very short on time, I recommend covering sections 1 to 6 and thoroughly reading the following three guides</w:t>
      </w:r>
      <w:hyperlink r:id="rId6" w:history="1">
        <w:r>
          <w:rPr>
            <w:rStyle w:val="Hyperlink"/>
          </w:rPr>
          <w:t>:  Immunization essentials</w:t>
        </w:r>
      </w:hyperlink>
      <w:r>
        <w:t xml:space="preserve">, </w:t>
      </w:r>
      <w:hyperlink r:id="rId7" w:history="1">
        <w:r>
          <w:rPr>
            <w:rStyle w:val="Hyperlink"/>
          </w:rPr>
          <w:t>Immunization in Practice</w:t>
        </w:r>
      </w:hyperlink>
      <w:r>
        <w:t xml:space="preserve"> and </w:t>
      </w:r>
      <w:hyperlink r:id="rId8" w:history="1">
        <w:r>
          <w:rPr>
            <w:rStyle w:val="Hyperlink"/>
          </w:rPr>
          <w:t>The RED guidelines</w:t>
        </w:r>
      </w:hyperlink>
      <w:r>
        <w:t xml:space="preserve">.  Additionally, a new </w:t>
      </w:r>
      <w:hyperlink r:id="rId9" w:history="1">
        <w:r>
          <w:rPr>
            <w:rStyle w:val="Hyperlink"/>
          </w:rPr>
          <w:t>Core References document</w:t>
        </w:r>
      </w:hyperlink>
      <w:r>
        <w:t xml:space="preserve"> from WHO and partners was just released and provides a nice overview of key resources by topic area as well as a new </w:t>
      </w:r>
      <w:hyperlink r:id="rId10" w:history="1">
        <w:r>
          <w:rPr>
            <w:rStyle w:val="Hyperlink"/>
          </w:rPr>
          <w:t>Immunization Resources Database focused on Immunization Coverage &amp; Equity</w:t>
        </w:r>
      </w:hyperlink>
      <w:r>
        <w:t>.</w:t>
      </w:r>
    </w:p>
    <w:p w14:paraId="76A70C7D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>CORE CURRICULUM</w:t>
      </w:r>
    </w:p>
    <w:p w14:paraId="01970FAD" w14:textId="77777777" w:rsidR="00000000" w:rsidRDefault="00453294">
      <w:r>
        <w:t xml:space="preserve">About:  The following training modules are the minimum you should cover to get a basic understanding of how global immunization systems </w:t>
      </w:r>
      <w:r>
        <w:t>work.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346"/>
        <w:gridCol w:w="995"/>
        <w:gridCol w:w="2149"/>
        <w:gridCol w:w="216"/>
        <w:gridCol w:w="1486"/>
        <w:gridCol w:w="1209"/>
        <w:gridCol w:w="813"/>
        <w:gridCol w:w="20"/>
        <w:gridCol w:w="999"/>
        <w:gridCol w:w="1195"/>
      </w:tblGrid>
      <w:tr w:rsidR="00000000" w14:paraId="42CBB009" w14:textId="77777777">
        <w:trPr>
          <w:trHeight w:val="57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017E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#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079B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Training category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9991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 xml:space="preserve">Title 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201C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Learning objectives</w:t>
            </w:r>
          </w:p>
        </w:tc>
        <w:tc>
          <w:tcPr>
            <w:tcW w:w="3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BED1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Assigned document &amp; location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4074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Additional reading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096487" w14:textId="77777777" w:rsidR="00000000" w:rsidRDefault="0045329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Presentation video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626655" w14:textId="77777777" w:rsidR="00000000" w:rsidRDefault="0045329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Related orientation videos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FCBC2B" w14:textId="77777777" w:rsidR="00000000" w:rsidRDefault="0045329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Related online courses</w:t>
            </w:r>
          </w:p>
        </w:tc>
      </w:tr>
      <w:tr w:rsidR="00000000" w14:paraId="5F0D70AB" w14:textId="77777777">
        <w:trPr>
          <w:trHeight w:val="8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311F" w14:textId="77777777" w:rsidR="00000000" w:rsidRDefault="00453294">
            <w:pPr>
              <w:spacing w:after="0" w:line="240" w:lineRule="auto"/>
            </w:pPr>
            <w: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42A9" w14:textId="77777777" w:rsidR="00000000" w:rsidRDefault="00453294">
            <w:pPr>
              <w:spacing w:after="0" w:line="240" w:lineRule="auto"/>
            </w:pPr>
            <w:r>
              <w:t xml:space="preserve">Global overview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2369" w14:textId="77777777" w:rsidR="00000000" w:rsidRDefault="00453294">
            <w:pPr>
              <w:spacing w:after="0" w:line="240" w:lineRule="auto"/>
            </w:pPr>
            <w:r>
              <w:t xml:space="preserve">The global </w:t>
            </w:r>
            <w:r>
              <w:t>effort to vaccinate children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6110" w14:textId="77777777" w:rsidR="00000000" w:rsidRDefault="00453294">
            <w:pPr>
              <w:spacing w:after="0" w:line="240" w:lineRule="auto"/>
            </w:pPr>
            <w:r>
              <w:t>Broad introduction to the Expanded Program on Immunization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8E8F" w14:textId="33BF37B3" w:rsidR="00000000" w:rsidRDefault="00453294">
            <w:pPr>
              <w:spacing w:after="0" w:line="240" w:lineRule="auto"/>
            </w:pPr>
            <w:r>
              <w:t xml:space="preserve">Presentation: </w:t>
            </w:r>
            <w:hyperlink r:id="rId11" w:history="1">
              <w:r>
                <w:rPr>
                  <w:rStyle w:val="Hyperlink"/>
                </w:rPr>
                <w:t>Crash course on the global effort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E56F" w14:textId="31C766F4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Hyperlink"/>
                <w:rFonts w:ascii="Symbol" w:hAnsi="Symbol"/>
                <w:color w:val="auto"/>
                <w:u w:val="none"/>
              </w:rPr>
              <w:t>·</w:t>
            </w:r>
            <w:r>
              <w:rPr>
                <w:rStyle w:val="Hyperlink"/>
                <w:rFonts w:ascii="Times New Roman" w:hAnsi="Times New Roman"/>
                <w:color w:val="auto"/>
                <w:sz w:val="14"/>
                <w:szCs w:val="14"/>
                <w:u w:val="none"/>
              </w:rPr>
              <w:t xml:space="preserve">         </w:t>
            </w:r>
            <w:hyperlink r:id="rId12" w:history="1">
              <w:r>
                <w:rPr>
                  <w:rStyle w:val="Hyperlink"/>
                </w:rPr>
                <w:t>Immunization essentials Chapter 1</w:t>
              </w:r>
            </w:hyperlink>
          </w:p>
          <w:p w14:paraId="757692DC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</w:p>
          <w:p w14:paraId="60ED0352" w14:textId="7CB9A45E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13" w:history="1">
              <w:r>
                <w:rPr>
                  <w:rStyle w:val="Hyperlink"/>
                </w:rPr>
                <w:t xml:space="preserve">Immunization </w:t>
              </w:r>
              <w:proofErr w:type="gramStart"/>
              <w:r>
                <w:rPr>
                  <w:rStyle w:val="Hyperlink"/>
                </w:rPr>
                <w:t>In</w:t>
              </w:r>
              <w:proofErr w:type="gramEnd"/>
              <w:r>
                <w:rPr>
                  <w:rStyle w:val="Hyperlink"/>
                </w:rPr>
                <w:t xml:space="preserve"> Practice (IIP) section 1</w:t>
              </w:r>
            </w:hyperlink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A5554D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cs="Calibri"/>
                <w:color w:val="auto"/>
                <w:u w:val="none"/>
              </w:rPr>
            </w:pPr>
            <w:r>
              <w:t>To be completed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C65620" w14:textId="77777777" w:rsidR="00000000" w:rsidRDefault="004532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cs="Calibri"/>
                <w:color w:val="auto"/>
                <w:u w:val="none"/>
              </w:rPr>
            </w:pPr>
            <w:hyperlink r:id="rId14" w:history="1">
              <w:r>
                <w:rPr>
                  <w:rStyle w:val="Hyperlink"/>
                </w:rPr>
                <w:t>2021</w:t>
              </w:r>
              <w:r>
                <w:rPr>
                  <w:rStyle w:val="Hyperlink"/>
                  <w:rFonts w:cs="Calibri"/>
                </w:rPr>
                <w:t xml:space="preserve"> w</w:t>
              </w:r>
              <w:r>
                <w:rPr>
                  <w:rStyle w:val="Hyperlink"/>
                </w:rPr>
                <w:t>ebinar</w:t>
              </w:r>
              <w:r>
                <w:rPr>
                  <w:rStyle w:val="Hyperlink"/>
                  <w:rFonts w:cs="Calibri"/>
                </w:rPr>
                <w:t xml:space="preserve"> on t</w:t>
              </w:r>
              <w:r>
                <w:rPr>
                  <w:rStyle w:val="Hyperlink"/>
                </w:rPr>
                <w:t>he</w:t>
              </w:r>
              <w:r>
                <w:rPr>
                  <w:rStyle w:val="Hyperlink"/>
                  <w:rFonts w:cs="Calibri"/>
                </w:rPr>
                <w:t xml:space="preserve"> new Immunization Agenda 2030 global strategy &amp; vision</w:t>
              </w:r>
            </w:hyperlink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2B382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cs="Calibri"/>
                <w:color w:val="auto"/>
                <w:u w:val="none"/>
              </w:rPr>
            </w:pPr>
          </w:p>
        </w:tc>
      </w:tr>
      <w:tr w:rsidR="00000000" w14:paraId="74C2CD7F" w14:textId="77777777">
        <w:trPr>
          <w:trHeight w:val="1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4649" w14:textId="77777777" w:rsidR="00000000" w:rsidRDefault="00453294">
            <w:pPr>
              <w:spacing w:after="0" w:line="240" w:lineRule="auto"/>
            </w:pPr>
            <w: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2327" w14:textId="77777777" w:rsidR="00000000" w:rsidRDefault="00453294">
            <w:pPr>
              <w:spacing w:after="0" w:line="240" w:lineRule="auto"/>
            </w:pPr>
            <w:r>
              <w:t>Global Performance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77B1" w14:textId="77777777" w:rsidR="00000000" w:rsidRDefault="00453294">
            <w:pPr>
              <w:spacing w:after="0" w:line="240" w:lineRule="auto"/>
            </w:pPr>
            <w:r>
              <w:t>Historical performance of immunization programs worldwide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AA0D" w14:textId="77777777" w:rsidR="00000000" w:rsidRDefault="00453294">
            <w:pPr>
              <w:spacing w:after="0" w:line="240" w:lineRule="auto"/>
            </w:pPr>
            <w:r>
              <w:t xml:space="preserve">Become </w:t>
            </w:r>
            <w:r>
              <w:t>familiar with global and regional immunization program coverage performance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8C03" w14:textId="77777777" w:rsidR="00000000" w:rsidRDefault="00453294">
            <w:pPr>
              <w:spacing w:after="0" w:line="240" w:lineRule="auto"/>
            </w:pPr>
            <w:r>
              <w:t>Presentation: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hyperlink r:id="rId15" w:history="1">
              <w:r>
                <w:rPr>
                  <w:rStyle w:val="Hyperlink"/>
                </w:rPr>
                <w:t>WHO p</w:t>
              </w:r>
              <w:r>
                <w:rPr>
                  <w:rStyle w:val="Hyperlink"/>
                </w:rPr>
                <w:t xml:space="preserve">resentation on 2020 immunization program performance 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4061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16" w:history="1">
              <w:r>
                <w:rPr>
                  <w:rStyle w:val="Hyperlink"/>
                </w:rPr>
                <w:t>2020 MMWR on global immunization coverage &amp; progress</w:t>
              </w:r>
            </w:hyperlink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C8BBA8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  <w:r>
              <w:t>To be completed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D3DD85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607B7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</w:tr>
      <w:tr w:rsidR="00000000" w14:paraId="2EBEAA3F" w14:textId="77777777">
        <w:trPr>
          <w:trHeight w:val="1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6F0E" w14:textId="77777777" w:rsidR="00000000" w:rsidRDefault="00453294">
            <w:pPr>
              <w:spacing w:after="0" w:line="240" w:lineRule="auto"/>
            </w:pPr>
            <w: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57E9" w14:textId="77777777" w:rsidR="00000000" w:rsidRDefault="00453294">
            <w:pPr>
              <w:spacing w:after="0" w:line="240" w:lineRule="auto"/>
            </w:pPr>
            <w:r>
              <w:t>Global Action Plans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47CF" w14:textId="77777777" w:rsidR="00000000" w:rsidRDefault="00453294">
            <w:pPr>
              <w:spacing w:after="0" w:line="240" w:lineRule="auto"/>
            </w:pPr>
            <w:r>
              <w:t xml:space="preserve">Immunization Agenda </w:t>
            </w:r>
            <w:r>
              <w:t>2030: The global strategic plan for immunization work 2021 -2030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9295" w14:textId="77777777" w:rsidR="00000000" w:rsidRDefault="00453294">
            <w:pPr>
              <w:spacing w:after="0" w:line="240" w:lineRule="auto"/>
            </w:pPr>
            <w:r>
              <w:t xml:space="preserve">Become familiar with major goals of the global immunization partnership  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5BC9" w14:textId="77777777" w:rsidR="00000000" w:rsidRDefault="00453294">
            <w:pPr>
              <w:spacing w:after="0" w:line="240" w:lineRule="auto"/>
            </w:pPr>
            <w:r>
              <w:t xml:space="preserve">Document:  </w:t>
            </w:r>
            <w:hyperlink r:id="rId17" w:history="1">
              <w:r>
                <w:rPr>
                  <w:rStyle w:val="Hyperlink"/>
                </w:rPr>
                <w:t>Immunization Agenda 2030 strategic plan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F905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 xml:space="preserve"> IA2030 website has additional key documents: </w:t>
            </w:r>
            <w:hyperlink r:id="rId18" w:history="1">
              <w:r>
                <w:rPr>
                  <w:rStyle w:val="Hyperlink"/>
                </w:rPr>
                <w:t>Link</w:t>
              </w:r>
            </w:hyperlink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E2E34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EF3E42" w14:textId="77777777" w:rsidR="00000000" w:rsidRDefault="0045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hyperlink r:id="rId19" w:history="1">
              <w:r>
                <w:rPr>
                  <w:rStyle w:val="Hyperlink"/>
                  <w:rFonts w:cs="Calibri"/>
                </w:rPr>
                <w:t xml:space="preserve">IVAC-hosted panel on IA2030 with WHO </w:t>
              </w:r>
              <w:proofErr w:type="spellStart"/>
              <w:r>
                <w:rPr>
                  <w:rStyle w:val="Hyperlink"/>
                  <w:rFonts w:cs="Calibri"/>
                </w:rPr>
                <w:t>colleages</w:t>
              </w:r>
              <w:proofErr w:type="spellEnd"/>
            </w:hyperlink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43AC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</w:tr>
      <w:tr w:rsidR="00000000" w14:paraId="3EF4A280" w14:textId="77777777">
        <w:trPr>
          <w:trHeight w:val="8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0C33" w14:textId="77777777" w:rsidR="00000000" w:rsidRDefault="00453294">
            <w:pPr>
              <w:spacing w:after="0" w:line="240" w:lineRule="auto"/>
            </w:pPr>
            <w: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EE27" w14:textId="77777777" w:rsidR="00000000" w:rsidRDefault="00453294">
            <w:pPr>
              <w:spacing w:after="0" w:line="240" w:lineRule="auto"/>
            </w:pPr>
            <w:r>
              <w:t>Overview of the routine immunization system components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F7AD" w14:textId="77777777" w:rsidR="00000000" w:rsidRDefault="00453294">
            <w:pPr>
              <w:spacing w:after="0" w:line="240" w:lineRule="auto"/>
            </w:pPr>
            <w:r>
              <w:t xml:space="preserve">Introduction to the immunization system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99D1" w14:textId="77777777" w:rsidR="00000000" w:rsidRDefault="00453294">
            <w:pPr>
              <w:spacing w:after="0" w:line="240" w:lineRule="auto"/>
            </w:pPr>
            <w:r>
              <w:t xml:space="preserve">overview of </w:t>
            </w:r>
            <w:r>
              <w:t>the global immunization system and immunization system components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A50C" w14:textId="6C1DC6CF" w:rsidR="00000000" w:rsidRDefault="00453294">
            <w:pPr>
              <w:spacing w:after="0" w:line="240" w:lineRule="auto"/>
            </w:pPr>
            <w:r>
              <w:t xml:space="preserve">Presentation: </w:t>
            </w:r>
            <w:hyperlink r:id="rId20" w:history="1">
              <w:r>
                <w:rPr>
                  <w:rStyle w:val="Hyperlink"/>
                </w:rPr>
                <w:t>Orientation to routine immunization systems (GID presentation)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60BA" w14:textId="4AF555AC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Hyperlink"/>
                <w:rFonts w:ascii="Symbol" w:hAnsi="Symbol"/>
                <w:color w:val="auto"/>
                <w:u w:val="none"/>
              </w:rPr>
              <w:t>·</w:t>
            </w:r>
            <w:r>
              <w:rPr>
                <w:rStyle w:val="Hyperlink"/>
                <w:rFonts w:ascii="Times New Roman" w:hAnsi="Times New Roman"/>
                <w:color w:val="auto"/>
                <w:sz w:val="14"/>
                <w:szCs w:val="14"/>
                <w:u w:val="none"/>
              </w:rPr>
              <w:t>        </w:t>
            </w:r>
            <w:hyperlink r:id="rId21" w:history="1">
              <w:r>
                <w:rPr>
                  <w:rStyle w:val="Hyperlink"/>
                </w:rPr>
                <w:t>Immunization essentials Chapter 2</w:t>
              </w:r>
            </w:hyperlink>
          </w:p>
          <w:p w14:paraId="35288F39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</w:p>
          <w:p w14:paraId="700B4B68" w14:textId="377BBE2C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</w:rPr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22" w:history="1">
              <w:r>
                <w:rPr>
                  <w:rStyle w:val="Hyperlink"/>
                </w:rPr>
                <w:t>Immunization system diagram handout</w:t>
              </w:r>
            </w:hyperlink>
            <w:r>
              <w:rPr>
                <w:rStyle w:val="Hyperlink"/>
              </w:rPr>
              <w:t xml:space="preserve"> #1</w:t>
            </w:r>
          </w:p>
          <w:p w14:paraId="7C58BC7B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</w:p>
          <w:p w14:paraId="7343A381" w14:textId="6C8B38F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</w:rPr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23" w:history="1">
              <w:r>
                <w:rPr>
                  <w:rStyle w:val="Hyperlink"/>
                </w:rPr>
                <w:t>Immunization system diagram handout</w:t>
              </w:r>
            </w:hyperlink>
            <w:r>
              <w:rPr>
                <w:rStyle w:val="Hyperlink"/>
              </w:rPr>
              <w:t xml:space="preserve"> #2</w:t>
            </w:r>
          </w:p>
          <w:p w14:paraId="04E49091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</w:p>
          <w:p w14:paraId="4F8AB22A" w14:textId="77777777" w:rsidR="00000000" w:rsidRDefault="00453294">
            <w:pPr>
              <w:spacing w:after="0" w:line="240" w:lineRule="auto"/>
            </w:pPr>
            <w: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E1C489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cs="Calibri"/>
                <w:color w:val="auto"/>
                <w:u w:val="none"/>
              </w:rPr>
            </w:pPr>
            <w:r>
              <w:t>To be completed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D75FC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cs="Calibri"/>
                <w:color w:val="auto"/>
                <w:u w:val="non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449EB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cs="Calibri"/>
                <w:color w:val="auto"/>
                <w:u w:val="none"/>
              </w:rPr>
            </w:pPr>
          </w:p>
        </w:tc>
      </w:tr>
      <w:tr w:rsidR="00000000" w14:paraId="335BD065" w14:textId="77777777">
        <w:trPr>
          <w:trHeight w:val="5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D214" w14:textId="77777777" w:rsidR="00000000" w:rsidRDefault="00453294">
            <w:pPr>
              <w:spacing w:after="0" w:line="240" w:lineRule="auto"/>
            </w:pPr>
            <w: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3158" w14:textId="77777777" w:rsidR="00000000" w:rsidRDefault="00453294">
            <w:pPr>
              <w:spacing w:after="0" w:line="240" w:lineRule="auto"/>
            </w:pPr>
            <w:r>
              <w:t>RI system: Monitoring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BBE9" w14:textId="77777777" w:rsidR="00000000" w:rsidRDefault="00453294">
            <w:pPr>
              <w:spacing w:after="0" w:line="240" w:lineRule="auto"/>
            </w:pPr>
            <w:r>
              <w:t>Monitoring and evaluation for immunization systems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A34D" w14:textId="77777777" w:rsidR="00000000" w:rsidRDefault="00453294">
            <w:pPr>
              <w:spacing w:after="0" w:line="240" w:lineRule="auto"/>
            </w:pPr>
            <w:r>
              <w:t xml:space="preserve">Become </w:t>
            </w:r>
            <w:r>
              <w:t xml:space="preserve">familiar with common immunization monitoring tools and evaluation activities 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89A6" w14:textId="08E3FF6E" w:rsidR="00000000" w:rsidRDefault="00453294">
            <w:pPr>
              <w:spacing w:after="0" w:line="240" w:lineRule="auto"/>
            </w:pPr>
            <w:r>
              <w:t xml:space="preserve">Presentation: </w:t>
            </w:r>
            <w:hyperlink r:id="rId24" w:history="1">
              <w:r>
                <w:rPr>
                  <w:rStyle w:val="Hyperlink"/>
                </w:rPr>
                <w:t>Monitoring &amp; evaluation for routine immunization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ACD9" w14:textId="17DE75C0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25" w:history="1">
              <w:r>
                <w:rPr>
                  <w:rStyle w:val="Hyperlink"/>
                </w:rPr>
                <w:t>Immunization essentials Chapter 4</w:t>
              </w:r>
            </w:hyperlink>
          </w:p>
          <w:p w14:paraId="5565F14C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</w:p>
          <w:p w14:paraId="42E6E32D" w14:textId="4B0820AB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26" w:history="1">
              <w:r>
                <w:rPr>
                  <w:rStyle w:val="Hyperlink"/>
                </w:rPr>
                <w:t>Examples of monitoring tools handout</w:t>
              </w:r>
            </w:hyperlink>
          </w:p>
          <w:p w14:paraId="2EA604C6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</w:p>
          <w:p w14:paraId="3211E816" w14:textId="214D6EEC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27" w:history="1">
              <w:r>
                <w:rPr>
                  <w:rStyle w:val="Hyperlink"/>
                </w:rPr>
                <w:t>MLM Module 5: Monitoring the immunization system</w:t>
              </w:r>
            </w:hyperlink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016AC2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  <w:r>
              <w:t>To be completed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697B5A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AE14AB" w14:textId="77777777" w:rsidR="00000000" w:rsidRDefault="004532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hyperlink r:id="rId28" w:history="1">
              <w:r>
                <w:rPr>
                  <w:rStyle w:val="Hyperlink"/>
                  <w:rFonts w:cs="Calibri"/>
                </w:rPr>
                <w:t>Immunization Academy: Monitoring coverage at the health facility level</w:t>
              </w:r>
            </w:hyperlink>
            <w:r>
              <w:rPr>
                <w:rFonts w:cs="Calibri"/>
              </w:rPr>
              <w:t xml:space="preserve"> </w:t>
            </w:r>
          </w:p>
        </w:tc>
      </w:tr>
      <w:tr w:rsidR="00000000" w14:paraId="640C28EF" w14:textId="77777777">
        <w:trPr>
          <w:trHeight w:val="9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7839" w14:textId="77777777" w:rsidR="00000000" w:rsidRDefault="00453294">
            <w:pPr>
              <w:spacing w:after="0" w:line="240" w:lineRule="auto"/>
            </w:pPr>
            <w: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1220" w14:textId="77777777" w:rsidR="00000000" w:rsidRDefault="00453294">
            <w:pPr>
              <w:spacing w:after="0" w:line="240" w:lineRule="auto"/>
            </w:pPr>
            <w:r>
              <w:t>RI System: Microplanning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3349" w14:textId="77777777" w:rsidR="00000000" w:rsidRDefault="00453294">
            <w:pPr>
              <w:spacing w:after="0" w:line="240" w:lineRule="auto"/>
            </w:pPr>
            <w:r>
              <w:t>Microplanning for routine immunization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534F" w14:textId="77777777" w:rsidR="00000000" w:rsidRDefault="00453294">
            <w:pPr>
              <w:spacing w:after="0" w:line="240" w:lineRule="auto"/>
            </w:pPr>
            <w:r>
              <w:t>In depth review of microplanning for routine immunization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C4BB" w14:textId="7FBF2CE9" w:rsidR="00000000" w:rsidRDefault="00453294">
            <w:pPr>
              <w:spacing w:after="0" w:line="240" w:lineRule="auto"/>
            </w:pPr>
            <w:r>
              <w:t xml:space="preserve">Document:  </w:t>
            </w:r>
            <w:hyperlink r:id="rId29" w:history="1">
              <w:r>
                <w:rPr>
                  <w:rStyle w:val="Hyperlink"/>
                </w:rPr>
                <w:t>WHO guide on microplanning for routine immunization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1B44" w14:textId="1C449BBB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>    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>
              <w:t> </w:t>
            </w:r>
            <w:hyperlink r:id="rId30" w:history="1">
              <w:r>
                <w:rPr>
                  <w:rStyle w:val="Hyperlink"/>
                </w:rPr>
                <w:t>WHO presentation on microplanning and supervision – for COVID-19 vaccination, but generically covers any vaccination situation</w:t>
              </w:r>
            </w:hyperlink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25D7BE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 </w:t>
            </w:r>
            <w:r>
              <w:rPr>
                <w:rFonts w:asciiTheme="minorHAnsi" w:hAnsiTheme="minorHAnsi" w:cstheme="minorHAnsi"/>
              </w:rPr>
              <w:t>applicable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D27E45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</w:t>
            </w:r>
            <w:r>
              <w:rPr>
                <w:rFonts w:asciiTheme="minorHAnsi" w:hAnsiTheme="minorHAnsi" w:cstheme="minorHAnsi"/>
              </w:rPr>
              <w:t xml:space="preserve">WHO video </w:t>
            </w:r>
            <w:hyperlink r:id="rId31" w:history="1">
              <w:r>
                <w:rPr>
                  <w:rStyle w:val="Hyperlink"/>
                  <w:rFonts w:asciiTheme="minorHAnsi" w:hAnsiTheme="minorHAnsi" w:cstheme="minorHAnsi"/>
                </w:rPr>
                <w:t>overview on microplanning and supportive supervision</w:t>
              </w:r>
            </w:hyperlink>
            <w:r>
              <w:rPr>
                <w:rFonts w:asciiTheme="minorHAnsi" w:hAnsiTheme="minorHAnsi" w:cstheme="minorHAnsi"/>
              </w:rPr>
              <w:t xml:space="preserve"> (in COVID-19 context but generic info)</w:t>
            </w:r>
          </w:p>
          <w:p w14:paraId="06430CA3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  <w:p w14:paraId="55488E73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hyperlink r:id="rId32" w:history="1">
              <w:r>
                <w:rPr>
                  <w:rStyle w:val="Hyperlink"/>
                  <w:rFonts w:asciiTheme="minorHAnsi" w:hAnsiTheme="minorHAnsi" w:cstheme="minorHAnsi"/>
                </w:rPr>
                <w:t>●</w:t>
              </w:r>
              <w:r>
                <w:rPr>
                  <w:rStyle w:val="Hyperlink"/>
                  <w:rFonts w:asciiTheme="minorHAnsi" w:hAnsiTheme="minorHAnsi" w:cstheme="minorHAnsi"/>
                </w:rPr>
                <w:t>IA:  Mapping the health facility catchment area</w:t>
              </w:r>
            </w:hyperlink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8DA552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000000" w14:paraId="084E6640" w14:textId="77777777">
        <w:trPr>
          <w:trHeight w:val="190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331D" w14:textId="77777777" w:rsidR="00000000" w:rsidRDefault="00453294">
            <w:pPr>
              <w:spacing w:after="0" w:line="240" w:lineRule="auto"/>
            </w:pPr>
            <w: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B4A8" w14:textId="77777777" w:rsidR="00000000" w:rsidRDefault="00453294">
            <w:pPr>
              <w:spacing w:after="0" w:line="240" w:lineRule="auto"/>
            </w:pPr>
            <w:r>
              <w:t>RI System:  Surveillance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51B2" w14:textId="77777777" w:rsidR="00000000" w:rsidRDefault="00453294">
            <w:pPr>
              <w:spacing w:after="0" w:line="240" w:lineRule="auto"/>
            </w:pPr>
            <w:r>
              <w:t>The vaccine preventable disease surveillance system in developing countries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EA23" w14:textId="77777777" w:rsidR="00000000" w:rsidRDefault="00453294">
            <w:pPr>
              <w:spacing w:after="0" w:line="240" w:lineRule="auto"/>
            </w:pPr>
            <w:r>
              <w:t xml:space="preserve">In depth review of VPD surveillance </w:t>
            </w:r>
            <w:r>
              <w:t>systems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1DB3" w14:textId="54EEADA7" w:rsidR="00000000" w:rsidRDefault="00453294">
            <w:pPr>
              <w:spacing w:after="0" w:line="240" w:lineRule="auto"/>
            </w:pPr>
            <w:r>
              <w:t>Presentation</w:t>
            </w:r>
            <w:hyperlink r:id="rId33" w:history="1">
              <w:r>
                <w:rPr>
                  <w:rStyle w:val="Hyperlink"/>
                </w:rPr>
                <w:t>:  Integrated disease surveillance</w:t>
              </w:r>
            </w:hyperlink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45D4" w14:textId="2D2A957D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Hyperlink"/>
                <w:rFonts w:ascii="Symbol" w:hAnsi="Symbol"/>
                <w:u w:val="none"/>
              </w:rPr>
              <w:t>·</w:t>
            </w:r>
            <w:r>
              <w:rPr>
                <w:rStyle w:val="Hyperlink"/>
                <w:rFonts w:ascii="Times New Roman" w:hAnsi="Times New Roman"/>
                <w:sz w:val="14"/>
                <w:szCs w:val="14"/>
                <w:u w:val="none"/>
              </w:rPr>
              <w:t xml:space="preserve">         </w:t>
            </w:r>
            <w:hyperlink r:id="rId34" w:history="1">
              <w:r>
                <w:rPr>
                  <w:rStyle w:val="Hyperlink"/>
                </w:rPr>
                <w:t>Immunization essentials Chapter 8</w:t>
              </w:r>
            </w:hyperlink>
          </w:p>
          <w:p w14:paraId="58639BC6" w14:textId="405C3AAA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35" w:history="1">
              <w:r>
                <w:rPr>
                  <w:rStyle w:val="Hyperlink"/>
                </w:rPr>
                <w:t>Global Framework for Immunization Monitoring and Surveillance</w:t>
              </w:r>
            </w:hyperlink>
          </w:p>
          <w:p w14:paraId="005BD8E5" w14:textId="0D26B73E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36" w:history="1">
              <w:r>
                <w:rPr>
                  <w:rStyle w:val="Hyperlink"/>
                </w:rPr>
                <w:t>MLM Module 8:  Making disease surveillance work</w:t>
              </w:r>
            </w:hyperlink>
          </w:p>
          <w:p w14:paraId="5E9C7420" w14:textId="77777777" w:rsidR="00000000" w:rsidRDefault="00453294">
            <w:pPr>
              <w:spacing w:after="0" w:line="240" w:lineRule="auto"/>
            </w:pPr>
            <w: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1FCC8A" w14:textId="77777777" w:rsidR="00000000" w:rsidRDefault="00453294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u w:val="none"/>
              </w:rPr>
            </w:pPr>
            <w:r>
              <w:t>To be completed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694FC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asciiTheme="minorHAnsi" w:hAnsiTheme="minorHAnsi" w:cstheme="minorHAnsi"/>
                <w:u w:val="non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BE72FF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asciiTheme="minorHAnsi" w:hAnsiTheme="minorHAnsi" w:cstheme="minorHAnsi"/>
                <w:u w:val="none"/>
              </w:rPr>
            </w:pPr>
          </w:p>
        </w:tc>
      </w:tr>
      <w:tr w:rsidR="00000000" w14:paraId="02DA0922" w14:textId="77777777">
        <w:trPr>
          <w:trHeight w:val="190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4EE9" w14:textId="77777777" w:rsidR="00000000" w:rsidRDefault="00453294">
            <w:pPr>
              <w:spacing w:after="0" w:line="240" w:lineRule="auto"/>
            </w:pPr>
            <w: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1A2F" w14:textId="77777777" w:rsidR="00000000" w:rsidRDefault="00453294">
            <w:pPr>
              <w:spacing w:after="0" w:line="240" w:lineRule="auto"/>
            </w:pPr>
            <w:r>
              <w:t>RI System:  Supervision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593C" w14:textId="77777777" w:rsidR="00000000" w:rsidRDefault="00453294">
            <w:pPr>
              <w:spacing w:after="0" w:line="240" w:lineRule="auto"/>
            </w:pPr>
            <w:r>
              <w:t>Guidelines for supportive supervision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3CAB" w14:textId="77777777" w:rsidR="00000000" w:rsidRDefault="00453294">
            <w:pPr>
              <w:spacing w:after="0" w:line="240" w:lineRule="auto"/>
            </w:pPr>
            <w:r>
              <w:t>In-depth understanding of supportive supervision activities in immunization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5F4A" w14:textId="2FC6E86E" w:rsidR="00000000" w:rsidRDefault="00453294">
            <w:pPr>
              <w:spacing w:after="0" w:line="240" w:lineRule="auto"/>
            </w:pPr>
            <w:r>
              <w:t xml:space="preserve">Presentation: </w:t>
            </w:r>
            <w:hyperlink r:id="rId37" w:history="1">
              <w:r>
                <w:rPr>
                  <w:rStyle w:val="Hyperlink"/>
                </w:rPr>
                <w:t>WHO presentation on microplanning and supervision – for COVID-19 vaccination, but generically covers any vaccination situation</w:t>
              </w:r>
            </w:hyperlink>
          </w:p>
          <w:p w14:paraId="48825467" w14:textId="77777777" w:rsidR="00000000" w:rsidRDefault="00453294">
            <w:pPr>
              <w:spacing w:after="0" w:line="240" w:lineRule="auto"/>
            </w:pPr>
          </w:p>
          <w:p w14:paraId="4AECC7F0" w14:textId="7ECD4CB6" w:rsidR="00000000" w:rsidRDefault="00453294">
            <w:pPr>
              <w:spacing w:after="0" w:line="240" w:lineRule="auto"/>
              <w:rPr>
                <w:rStyle w:val="Hyperlink"/>
              </w:rPr>
            </w:pPr>
            <w:r>
              <w:t xml:space="preserve">Read:  </w:t>
            </w:r>
            <w:hyperlink r:id="rId38" w:history="1">
              <w:r>
                <w:rPr>
                  <w:rStyle w:val="Hyperlink"/>
                </w:rPr>
                <w:t>Guidelines for Supportive Supervision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17D4" w14:textId="5EA1B4E8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</w:rPr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39" w:history="1">
              <w:r>
                <w:rPr>
                  <w:rStyle w:val="Hyperlink"/>
                </w:rPr>
                <w:t>MLM Module 4:  Supportive Supervision</w:t>
              </w:r>
            </w:hyperlink>
          </w:p>
          <w:p w14:paraId="56021175" w14:textId="77777777" w:rsidR="00000000" w:rsidRDefault="00453294">
            <w:pPr>
              <w:spacing w:after="0" w:line="240" w:lineRule="auto"/>
            </w:pPr>
            <w:r>
              <w:t xml:space="preserve"> 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648FA5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applicable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E7742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</w:t>
            </w:r>
            <w:r>
              <w:rPr>
                <w:rFonts w:asciiTheme="minorHAnsi" w:hAnsiTheme="minorHAnsi" w:cstheme="minorHAnsi"/>
              </w:rPr>
              <w:t xml:space="preserve">WHO video </w:t>
            </w:r>
            <w:hyperlink r:id="rId40" w:history="1">
              <w:r>
                <w:rPr>
                  <w:rStyle w:val="Hyperlink"/>
                  <w:rFonts w:asciiTheme="minorHAnsi" w:hAnsiTheme="minorHAnsi" w:cstheme="minorHAnsi"/>
                </w:rPr>
                <w:t>overview on microplanning and supportive supervision</w:t>
              </w:r>
            </w:hyperlink>
            <w:r>
              <w:rPr>
                <w:rFonts w:asciiTheme="minorHAnsi" w:hAnsiTheme="minorHAnsi" w:cstheme="minorHAnsi"/>
              </w:rPr>
              <w:t xml:space="preserve"> (in COVID-19 context but generic info)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5EB888" w14:textId="77777777" w:rsidR="00000000" w:rsidRDefault="004532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hyperlink r:id="rId41" w:history="1">
              <w:r>
                <w:rPr>
                  <w:rStyle w:val="Hyperlink"/>
                  <w:rFonts w:asciiTheme="minorHAnsi" w:hAnsiTheme="minorHAnsi" w:cstheme="minorHAnsi"/>
                </w:rPr>
                <w:t>Immunization Academy: Supportive Supervision</w:t>
              </w:r>
            </w:hyperlink>
          </w:p>
        </w:tc>
      </w:tr>
      <w:tr w:rsidR="00000000" w14:paraId="347F2EB9" w14:textId="77777777">
        <w:trPr>
          <w:trHeight w:val="1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1B06" w14:textId="77777777" w:rsidR="00000000" w:rsidRDefault="00453294">
            <w:pPr>
              <w:spacing w:after="0" w:line="240" w:lineRule="auto"/>
            </w:pPr>
            <w: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551B" w14:textId="77777777" w:rsidR="00000000" w:rsidRDefault="00453294">
            <w:pPr>
              <w:spacing w:after="0" w:line="240" w:lineRule="auto"/>
            </w:pPr>
            <w:r>
              <w:t>RI system: Supply chain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9F74" w14:textId="77777777" w:rsidR="00000000" w:rsidRDefault="00453294">
            <w:pPr>
              <w:spacing w:after="0" w:line="240" w:lineRule="auto"/>
            </w:pPr>
            <w:r>
              <w:t>The immunization supply chain (cold chain overview)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0A21" w14:textId="77777777" w:rsidR="00000000" w:rsidRDefault="00453294">
            <w:pPr>
              <w:spacing w:after="0" w:line="240" w:lineRule="auto"/>
            </w:pPr>
            <w:r>
              <w:t>Become familiar with how the vaccine supply chain works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60A4" w14:textId="0A3078AF" w:rsidR="00000000" w:rsidRDefault="00453294">
            <w:pPr>
              <w:spacing w:after="0" w:line="240" w:lineRule="auto"/>
            </w:pPr>
            <w:r>
              <w:t xml:space="preserve">Presentation:  </w:t>
            </w:r>
            <w:hyperlink r:id="rId42" w:history="1">
              <w:r>
                <w:rPr>
                  <w:rStyle w:val="Hyperlink"/>
                </w:rPr>
                <w:t>the vaccine supply chain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4672" w14:textId="7AAC57FA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Hyperlink"/>
                <w:rFonts w:ascii="Symbol" w:hAnsi="Symbol"/>
                <w:u w:val="none"/>
              </w:rPr>
              <w:t>·</w:t>
            </w:r>
            <w:r>
              <w:rPr>
                <w:rStyle w:val="Hyperlink"/>
                <w:rFonts w:ascii="Times New Roman" w:hAnsi="Times New Roman"/>
                <w:sz w:val="14"/>
                <w:szCs w:val="14"/>
                <w:u w:val="none"/>
              </w:rPr>
              <w:t xml:space="preserve">         </w:t>
            </w:r>
            <w:hyperlink r:id="rId43" w:history="1">
              <w:r>
                <w:rPr>
                  <w:rStyle w:val="Hyperlink"/>
                </w:rPr>
                <w:t>Immunization essentials Chapters 5,6</w:t>
              </w:r>
            </w:hyperlink>
          </w:p>
          <w:p w14:paraId="4D6D7F92" w14:textId="3F94874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Hyperlink"/>
                <w:rFonts w:ascii="Symbol" w:hAnsi="Symbol"/>
                <w:u w:val="none"/>
              </w:rPr>
              <w:t>·</w:t>
            </w:r>
            <w:r>
              <w:rPr>
                <w:rStyle w:val="Hyperlink"/>
                <w:rFonts w:ascii="Times New Roman" w:hAnsi="Times New Roman"/>
                <w:sz w:val="14"/>
                <w:szCs w:val="14"/>
                <w:u w:val="none"/>
              </w:rPr>
              <w:t xml:space="preserve">         </w:t>
            </w:r>
            <w:hyperlink r:id="rId44" w:history="1">
              <w:r>
                <w:rPr>
                  <w:rStyle w:val="Hyperlink"/>
                </w:rPr>
                <w:t>Immunization in Practice Section 3</w:t>
              </w:r>
            </w:hyperlink>
          </w:p>
          <w:p w14:paraId="7CC3DD0D" w14:textId="77777777" w:rsidR="00000000" w:rsidRDefault="00453294">
            <w:pPr>
              <w:spacing w:after="0" w:line="240" w:lineRule="auto"/>
            </w:pPr>
            <w: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0433D6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asciiTheme="minorHAnsi" w:hAnsiTheme="minorHAnsi" w:cstheme="minorHAnsi"/>
                <w:u w:val="none"/>
              </w:rPr>
            </w:pPr>
            <w:r>
              <w:t>To be completed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4552D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asciiTheme="minorHAnsi" w:hAnsiTheme="minorHAnsi" w:cstheme="minorHAnsi"/>
                <w:u w:val="non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86C6A4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Style w:val="Hyperlink"/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</w:rPr>
              <w:sym w:font="Times New Roman" w:char="F0B7"/>
            </w:r>
            <w:r>
              <w:rPr>
                <w:rFonts w:asciiTheme="minorHAnsi" w:hAnsiTheme="minorHAnsi" w:cstheme="minorHAnsi"/>
                <w:sz w:val="14"/>
                <w:szCs w:val="14"/>
              </w:rPr>
              <w:t>        </w:t>
            </w:r>
            <w:hyperlink r:id="rId45" w:history="1">
              <w:r>
                <w:rPr>
                  <w:rStyle w:val="Hyperlink"/>
                  <w:rFonts w:asciiTheme="minorHAnsi" w:hAnsiTheme="minorHAnsi" w:cstheme="minorHAnsi"/>
                </w:rPr>
                <w:t>Immunization Academy: Keeping vaccines safe in the health facility cold chain</w:t>
              </w:r>
            </w:hyperlink>
          </w:p>
        </w:tc>
      </w:tr>
      <w:tr w:rsidR="00000000" w14:paraId="5D625928" w14:textId="77777777">
        <w:trPr>
          <w:trHeight w:val="190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46B0" w14:textId="77777777" w:rsidR="00000000" w:rsidRDefault="00453294">
            <w:pPr>
              <w:spacing w:after="0" w:line="240" w:lineRule="auto"/>
            </w:pPr>
            <w: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971A" w14:textId="77777777" w:rsidR="00000000" w:rsidRDefault="00453294">
            <w:pPr>
              <w:spacing w:after="0" w:line="240" w:lineRule="auto"/>
            </w:pPr>
            <w:r>
              <w:t>RI system:  outreach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BBBD" w14:textId="77777777" w:rsidR="00000000" w:rsidRDefault="00453294">
            <w:pPr>
              <w:spacing w:after="0" w:line="240" w:lineRule="auto"/>
            </w:pPr>
            <w:r>
              <w:t xml:space="preserve">The outreach </w:t>
            </w:r>
            <w:r>
              <w:t>approach for increasing access to immunization services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2A7B" w14:textId="77777777" w:rsidR="00000000" w:rsidRDefault="00453294">
            <w:pPr>
              <w:spacing w:after="0" w:line="240" w:lineRule="auto"/>
            </w:pPr>
            <w:r>
              <w:t>Gain in-depth understanding of outreach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B54F" w14:textId="124DE376" w:rsidR="00000000" w:rsidRDefault="00453294">
            <w:pPr>
              <w:spacing w:after="0" w:line="240" w:lineRule="auto"/>
            </w:pPr>
            <w:r>
              <w:t xml:space="preserve">Read:  </w:t>
            </w:r>
            <w:hyperlink r:id="rId46" w:history="1">
              <w:r>
                <w:rPr>
                  <w:rStyle w:val="Hyperlink"/>
                </w:rPr>
                <w:t>Sustainable Outreach Services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5EA7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BE2D64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applicable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E057EE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A0FF1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</w:t>
            </w:r>
            <w:r>
              <w:rPr>
                <w:rFonts w:asciiTheme="minorHAnsi" w:hAnsiTheme="minorHAnsi" w:cstheme="minorHAnsi"/>
              </w:rPr>
              <w:t xml:space="preserve">IA: </w:t>
            </w:r>
            <w:hyperlink r:id="rId47" w:history="1">
              <w:r>
                <w:rPr>
                  <w:rStyle w:val="Hyperlink"/>
                  <w:rFonts w:asciiTheme="minorHAnsi" w:hAnsiTheme="minorHAnsi" w:cstheme="minorHAnsi"/>
                </w:rPr>
                <w:t>Creating fixed and outreach session plans</w:t>
              </w:r>
            </w:hyperlink>
          </w:p>
        </w:tc>
      </w:tr>
      <w:tr w:rsidR="00000000" w14:paraId="3E306C7B" w14:textId="77777777">
        <w:trPr>
          <w:trHeight w:val="190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2DBF" w14:textId="77777777" w:rsidR="00000000" w:rsidRDefault="00453294">
            <w:pPr>
              <w:spacing w:after="0" w:line="240" w:lineRule="auto"/>
            </w:pPr>
            <w:r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C68A" w14:textId="77777777" w:rsidR="00000000" w:rsidRDefault="00453294">
            <w:pPr>
              <w:spacing w:after="0" w:line="240" w:lineRule="auto"/>
            </w:pPr>
            <w:r>
              <w:t>RI system:  Demand generation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60EA" w14:textId="77777777" w:rsidR="00000000" w:rsidRDefault="00453294">
            <w:pPr>
              <w:spacing w:after="0" w:line="240" w:lineRule="auto"/>
            </w:pPr>
            <w:r>
              <w:t>Partnering with the community for immunization services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E778" w14:textId="77777777" w:rsidR="00000000" w:rsidRDefault="00453294">
            <w:pPr>
              <w:spacing w:after="0" w:line="240" w:lineRule="auto"/>
            </w:pPr>
            <w:r>
              <w:t>Gain in-depth understanding of how to increase demand for vaccination</w:t>
            </w:r>
            <w:r>
              <w:t>s in the community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C72D" w14:textId="5672F517" w:rsidR="00000000" w:rsidRDefault="00453294">
            <w:pPr>
              <w:spacing w:after="0" w:line="240" w:lineRule="auto"/>
            </w:pPr>
            <w:r>
              <w:t xml:space="preserve">Read:  </w:t>
            </w:r>
            <w:hyperlink r:id="rId48" w:history="1">
              <w:r>
                <w:rPr>
                  <w:rStyle w:val="Hyperlink"/>
                </w:rPr>
                <w:t>MLM Module 2 – partnering with the community</w:t>
              </w:r>
            </w:hyperlink>
          </w:p>
          <w:p w14:paraId="2232E85C" w14:textId="77777777" w:rsidR="00000000" w:rsidRDefault="00453294">
            <w:pPr>
              <w:spacing w:after="0" w:line="240" w:lineRule="auto"/>
            </w:pPr>
            <w:r>
              <w:t> </w:t>
            </w:r>
          </w:p>
          <w:p w14:paraId="1608D130" w14:textId="75F1EF24" w:rsidR="00000000" w:rsidRDefault="00453294">
            <w:pPr>
              <w:spacing w:after="0" w:line="240" w:lineRule="auto"/>
            </w:pPr>
            <w:r>
              <w:t xml:space="preserve">Read:  </w:t>
            </w:r>
            <w:hyperlink r:id="rId49" w:history="1">
              <w:r>
                <w:rPr>
                  <w:rStyle w:val="Hyperlink"/>
                </w:rPr>
                <w:t>IIP Module 8 – Building community support for immunization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E804" w14:textId="77777777" w:rsidR="00000000" w:rsidRDefault="00453294"/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CAC988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r>
              <w:t>To be completed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A2256C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270DC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000000" w14:paraId="0E8554D1" w14:textId="77777777">
        <w:trPr>
          <w:trHeight w:val="117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8C3D" w14:textId="77777777" w:rsidR="00000000" w:rsidRDefault="00453294">
            <w:pPr>
              <w:spacing w:after="0" w:line="240" w:lineRule="auto"/>
            </w:pPr>
            <w:r>
              <w:t>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ED08" w14:textId="77777777" w:rsidR="00000000" w:rsidRDefault="00453294">
            <w:pPr>
              <w:spacing w:after="0" w:line="240" w:lineRule="auto"/>
            </w:pPr>
            <w:r>
              <w:t>challenges &amp; solutions to high vaccination coverage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22D2" w14:textId="77777777" w:rsidR="00000000" w:rsidRDefault="00453294">
            <w:pPr>
              <w:spacing w:after="0" w:line="240" w:lineRule="auto"/>
            </w:pPr>
            <w:r>
              <w:t>Common immunization system challenges and soluti</w:t>
            </w:r>
            <w:r>
              <w:t>ons (including an introduction to the RED strategy)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C719" w14:textId="77777777" w:rsidR="00000000" w:rsidRDefault="00453294">
            <w:pPr>
              <w:spacing w:after="0" w:line="240" w:lineRule="auto"/>
            </w:pPr>
            <w:r>
              <w:t>Provides an overview of common challenges to high immunization coverage and key strategies to overcome challenges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111A" w14:textId="00C1B8C9" w:rsidR="00000000" w:rsidRDefault="00453294">
            <w:pPr>
              <w:spacing w:after="0" w:line="240" w:lineRule="auto"/>
            </w:pPr>
            <w:r>
              <w:t xml:space="preserve">Presentation: </w:t>
            </w:r>
            <w:hyperlink r:id="rId50" w:history="1">
              <w:r>
                <w:rPr>
                  <w:rStyle w:val="Hyperlink"/>
                </w:rPr>
                <w:t>Common Problems &amp; Solutions to High Routine Immunization Coverage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F892" w14:textId="1352D863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51" w:history="1">
              <w:r>
                <w:rPr>
                  <w:rStyle w:val="Hyperlink"/>
                </w:rPr>
                <w:t>Immunization essentials Chapter 3</w:t>
              </w:r>
            </w:hyperlink>
          </w:p>
          <w:p w14:paraId="4317E90F" w14:textId="77777777" w:rsidR="00000000" w:rsidRDefault="00453294">
            <w:pPr>
              <w:spacing w:after="0" w:line="240" w:lineRule="auto"/>
            </w:pPr>
            <w: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54AD35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  <w:r>
              <w:t>To be completed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58C0A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A47E7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</w:tr>
      <w:tr w:rsidR="00000000" w14:paraId="6F2B90FD" w14:textId="77777777">
        <w:trPr>
          <w:trHeight w:val="117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9EFB" w14:textId="77777777" w:rsidR="00000000" w:rsidRDefault="00453294">
            <w:pPr>
              <w:spacing w:after="0" w:line="240" w:lineRule="auto"/>
            </w:pPr>
            <w:r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E0D9" w14:textId="77777777" w:rsidR="00000000" w:rsidRDefault="00453294">
            <w:pPr>
              <w:spacing w:after="0" w:line="240" w:lineRule="auto"/>
            </w:pPr>
            <w:r>
              <w:t xml:space="preserve">challenges &amp; </w:t>
            </w:r>
            <w:r>
              <w:t>solutions to high vaccination coverage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9A41" w14:textId="77777777" w:rsidR="00000000" w:rsidRDefault="00453294">
            <w:pPr>
              <w:spacing w:after="0" w:line="240" w:lineRule="auto"/>
            </w:pPr>
            <w:r>
              <w:t>Strategies for improving coverage at the district and facility level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9D02" w14:textId="77777777" w:rsidR="00000000" w:rsidRDefault="00453294">
            <w:pPr>
              <w:spacing w:after="0" w:line="240" w:lineRule="auto"/>
            </w:pPr>
            <w:r>
              <w:t>Further introduction to the RED approach and other sub-national approaches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370E" w14:textId="63A6E67C" w:rsidR="00000000" w:rsidRDefault="00453294">
            <w:pPr>
              <w:spacing w:after="0" w:line="240" w:lineRule="auto"/>
            </w:pPr>
            <w:r>
              <w:t xml:space="preserve">Presentation: </w:t>
            </w:r>
            <w:hyperlink r:id="rId52" w:history="1">
              <w:r>
                <w:rPr>
                  <w:rStyle w:val="Hyperlink"/>
                </w:rPr>
                <w:t>RED strategy</w:t>
              </w:r>
            </w:hyperlink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126B" w14:textId="4EE10B4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53" w:history="1">
              <w:r>
                <w:rPr>
                  <w:rStyle w:val="Hyperlink"/>
                </w:rPr>
                <w:t>AFRO RED guidelines</w:t>
              </w:r>
            </w:hyperlink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3A4FF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  <w:r>
              <w:t>To be completed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98574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  <w:hyperlink r:id="rId54" w:history="1">
              <w:r>
                <w:rPr>
                  <w:rStyle w:val="Hyperlink"/>
                  <w:rFonts w:cs="Calibri"/>
                </w:rPr>
                <w:t>●</w:t>
              </w:r>
              <w:r>
                <w:rPr>
                  <w:rStyle w:val="Hyperlink"/>
                  <w:rFonts w:cs="Calibri"/>
                </w:rPr>
                <w:t>IA: Identifying solutions to overcome barriers to vaccine access</w:t>
              </w:r>
            </w:hyperlink>
          </w:p>
          <w:p w14:paraId="252186C3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  <w:p w14:paraId="123BB598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>●</w:t>
            </w:r>
            <w:hyperlink r:id="rId55" w:history="1">
              <w:r>
                <w:rPr>
                  <w:rStyle w:val="Hyperlink"/>
                  <w:rFonts w:cs="Calibri"/>
                </w:rPr>
                <w:t>IA: Identifying solutions to overcome barriers to vaccine utilization</w:t>
              </w:r>
            </w:hyperlink>
          </w:p>
          <w:p w14:paraId="17B23807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C13AD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</w:tr>
      <w:tr w:rsidR="00000000" w14:paraId="217D1B7B" w14:textId="77777777">
        <w:trPr>
          <w:trHeight w:val="222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1C23" w14:textId="77777777" w:rsidR="00000000" w:rsidRDefault="00453294">
            <w:pPr>
              <w:spacing w:after="0" w:line="240" w:lineRule="auto"/>
            </w:pPr>
            <w:r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7003" w14:textId="77777777" w:rsidR="00000000" w:rsidRDefault="00453294">
            <w:pPr>
              <w:spacing w:after="0" w:line="240" w:lineRule="auto"/>
            </w:pPr>
            <w:r>
              <w:t>PRACTICE!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0254" w14:textId="77777777" w:rsidR="00000000" w:rsidRDefault="00453294">
            <w:pPr>
              <w:spacing w:after="0" w:line="240" w:lineRule="auto"/>
            </w:pPr>
            <w:r>
              <w:t>A case study on visiting h</w:t>
            </w:r>
            <w:r>
              <w:t>ealth facilities and reviewing the routine immunization system as a supervisor /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FED3" w14:textId="77777777" w:rsidR="00000000" w:rsidRDefault="00453294">
            <w:pPr>
              <w:spacing w:after="0" w:line="240" w:lineRule="auto"/>
            </w:pPr>
            <w:r>
              <w:t xml:space="preserve">Excellent overview of what to do when visiting a health facility </w:t>
            </w:r>
            <w:proofErr w:type="gramStart"/>
            <w:r>
              <w:t>in regards to</w:t>
            </w:r>
            <w:proofErr w:type="gramEnd"/>
            <w:r>
              <w:t xml:space="preserve"> supervision/monitoring/assessment of routine immunization services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A1DF" w14:textId="77777777" w:rsidR="00000000" w:rsidRDefault="00453294">
            <w:pPr>
              <w:spacing w:after="0" w:line="240" w:lineRule="auto"/>
            </w:pPr>
            <w:r>
              <w:t>Read:</w:t>
            </w:r>
          </w:p>
          <w:p w14:paraId="6687AAD9" w14:textId="4101F94E" w:rsidR="00000000" w:rsidRDefault="00453294">
            <w:pPr>
              <w:spacing w:after="0" w:line="240" w:lineRule="auto"/>
            </w:pPr>
            <w:r>
              <w:rPr>
                <w:rFonts w:ascii="Symbol" w:hAnsi="Symbol"/>
              </w:rPr>
              <w:t>·</w:t>
            </w:r>
            <w:r>
              <w:t xml:space="preserve">  </w:t>
            </w:r>
            <w:hyperlink r:id="rId56" w:history="1">
              <w:r>
                <w:rPr>
                  <w:rStyle w:val="Hyperlink"/>
                </w:rPr>
                <w:t>Routine Immunization Case study (Facilitator Version)</w:t>
              </w:r>
            </w:hyperlink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2191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EB69B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026C2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BC123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</w:tr>
    </w:tbl>
    <w:p w14:paraId="57940743" w14:textId="77777777" w:rsidR="00000000" w:rsidRDefault="00453294">
      <w:r>
        <w:t> </w:t>
      </w:r>
    </w:p>
    <w:p w14:paraId="64E77D6A" w14:textId="77777777" w:rsidR="00000000" w:rsidRDefault="00453294">
      <w:r>
        <w:t> </w:t>
      </w:r>
    </w:p>
    <w:p w14:paraId="1FC330D0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ADVANCED </w:t>
      </w:r>
      <w:r>
        <w:rPr>
          <w:rFonts w:eastAsia="Times New Roman"/>
        </w:rPr>
        <w:t>CURRICULUM: IN-DEPTH MODULES ON IMMUNIZATION SYSTEM COMPONENTS</w:t>
      </w:r>
    </w:p>
    <w:p w14:paraId="1E346538" w14:textId="77777777" w:rsidR="00000000" w:rsidRDefault="0045329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747"/>
        <w:gridCol w:w="1235"/>
        <w:gridCol w:w="1160"/>
        <w:gridCol w:w="1939"/>
        <w:gridCol w:w="1465"/>
        <w:gridCol w:w="1017"/>
        <w:gridCol w:w="1233"/>
        <w:gridCol w:w="551"/>
      </w:tblGrid>
      <w:tr w:rsidR="00000000" w14:paraId="4E6D1DE8" w14:textId="77777777">
        <w:trPr>
          <w:trHeight w:val="64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DE06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#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6D5C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System category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52D1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Topic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E115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Learning objective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D592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Assigned document &amp; location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0DF0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Additional reading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BEB077" w14:textId="77777777" w:rsidR="00000000" w:rsidRDefault="004532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Presentation video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849DDE" w14:textId="77777777" w:rsidR="00000000" w:rsidRDefault="004532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Related training video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A94947" w14:textId="77777777" w:rsidR="00000000" w:rsidRDefault="004532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Related online courses</w:t>
            </w:r>
          </w:p>
        </w:tc>
      </w:tr>
      <w:tr w:rsidR="00000000" w14:paraId="6471F66C" w14:textId="77777777">
        <w:trPr>
          <w:trHeight w:val="1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2373" w14:textId="77777777" w:rsidR="00000000" w:rsidRDefault="00453294">
            <w:pPr>
              <w:spacing w:after="0" w:line="240" w:lineRule="auto"/>
            </w:pPr>
            <w:r>
              <w:t>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C845" w14:textId="77777777" w:rsidR="00000000" w:rsidRDefault="00453294">
            <w:pPr>
              <w:spacing w:after="0" w:line="240" w:lineRule="auto"/>
            </w:pPr>
            <w:r>
              <w:t>Overview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E291" w14:textId="77777777" w:rsidR="00000000" w:rsidRDefault="00453294">
            <w:pPr>
              <w:spacing w:after="0" w:line="240" w:lineRule="auto"/>
            </w:pPr>
            <w:r>
              <w:t xml:space="preserve">The partners of the global immunization world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DD45" w14:textId="77777777" w:rsidR="00000000" w:rsidRDefault="00453294">
            <w:pPr>
              <w:spacing w:after="0" w:line="240" w:lineRule="auto"/>
            </w:pPr>
            <w:r>
              <w:t>Become familiar with the general structure of the global immunization world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7F00" w14:textId="4454CBC2" w:rsidR="00000000" w:rsidRDefault="00453294">
            <w:pPr>
              <w:spacing w:after="0" w:line="240" w:lineRule="auto"/>
            </w:pPr>
            <w:r>
              <w:t xml:space="preserve">Presentation: </w:t>
            </w:r>
            <w:hyperlink r:id="rId57" w:history="1">
              <w:r>
                <w:rPr>
                  <w:rStyle w:val="Hyperlink"/>
                </w:rPr>
                <w:t>Partners, alliances and meetings presentation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0228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41AC98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  <w:r>
              <w:t>To be completed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872AEB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866232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</w:tr>
      <w:tr w:rsidR="00000000" w14:paraId="45B2C33B" w14:textId="77777777">
        <w:trPr>
          <w:trHeight w:val="1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7A69" w14:textId="77777777" w:rsidR="00000000" w:rsidRDefault="00453294">
            <w:pPr>
              <w:spacing w:after="0" w:line="240" w:lineRule="auto"/>
            </w:pPr>
            <w:r>
              <w:t>A1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B435" w14:textId="77777777" w:rsidR="00000000" w:rsidRDefault="00453294">
            <w:pPr>
              <w:spacing w:after="0" w:line="240" w:lineRule="auto"/>
            </w:pPr>
            <w:r>
              <w:t>challenges &amp; solutions to high vaccination coverage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13997" w14:textId="77777777" w:rsidR="00000000" w:rsidRDefault="00453294">
            <w:pPr>
              <w:spacing w:after="0" w:line="240" w:lineRule="auto"/>
            </w:pPr>
            <w:r>
              <w:t>Risk factors for under-immunization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0249" w14:textId="77777777" w:rsidR="00000000" w:rsidRDefault="00453294">
            <w:pPr>
              <w:spacing w:after="0" w:line="240" w:lineRule="auto"/>
            </w:pPr>
            <w:r>
              <w:t>Become familiar with common risk factors for under-immunization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9FB4" w14:textId="00DDB8C5" w:rsidR="00000000" w:rsidRDefault="00453294">
            <w:pPr>
              <w:spacing w:after="0" w:line="240" w:lineRule="auto"/>
            </w:pPr>
            <w:r>
              <w:t xml:space="preserve">Paper: </w:t>
            </w:r>
            <w:hyperlink r:id="rId58" w:history="1">
              <w:r>
                <w:rPr>
                  <w:rStyle w:val="Hyperlink"/>
                </w:rPr>
                <w:t>peer-reviewed literature review  of common risk factors for under-immunization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BFE4" w14:textId="20CE1DE1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 xml:space="preserve">Paper:  </w:t>
            </w:r>
            <w:hyperlink r:id="rId59" w:history="1">
              <w:r>
                <w:rPr>
                  <w:rStyle w:val="Hyperlink"/>
                </w:rPr>
                <w:t>Grey literat</w:t>
              </w:r>
              <w:r>
                <w:rPr>
                  <w:rStyle w:val="Hyperlink"/>
                </w:rPr>
                <w:t>ure review of common risk factors for under-immunization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85F47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BEB48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DDD63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</w:tr>
      <w:tr w:rsidR="00000000" w14:paraId="05F7B25A" w14:textId="77777777">
        <w:trPr>
          <w:trHeight w:val="1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84F9" w14:textId="77777777" w:rsidR="00000000" w:rsidRDefault="00453294">
            <w:pPr>
              <w:spacing w:after="0" w:line="240" w:lineRule="auto"/>
            </w:pPr>
            <w:r>
              <w:t>A2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CCA" w14:textId="77777777" w:rsidR="00000000" w:rsidRDefault="00453294">
            <w:pPr>
              <w:spacing w:after="0" w:line="240" w:lineRule="auto"/>
            </w:pPr>
            <w:r>
              <w:t>challenges &amp; solutions to high vaccination coverage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06CD" w14:textId="77777777" w:rsidR="00000000" w:rsidRDefault="00453294">
            <w:pPr>
              <w:spacing w:after="0" w:line="240" w:lineRule="auto"/>
            </w:pPr>
            <w:r>
              <w:t>Evidence for strategies to increase immunization coverage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8BC9" w14:textId="77777777" w:rsidR="00000000" w:rsidRDefault="00453294">
            <w:pPr>
              <w:spacing w:after="0" w:line="240" w:lineRule="auto"/>
            </w:pPr>
            <w:r>
              <w:t xml:space="preserve">Become </w:t>
            </w:r>
            <w:r>
              <w:t>familiar with published evidence on strategies for strengthening routine immunization services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8964" w14:textId="77777777" w:rsidR="00000000" w:rsidRDefault="00453294">
            <w:pPr>
              <w:spacing w:after="0" w:line="240" w:lineRule="auto"/>
            </w:pPr>
            <w:r>
              <w:t>Read the following articles:</w:t>
            </w:r>
          </w:p>
          <w:p w14:paraId="131EA656" w14:textId="60D56AC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60" w:history="1">
              <w:r>
                <w:rPr>
                  <w:rStyle w:val="Hyperlink"/>
                </w:rPr>
                <w:t>Batt et al: cos</w:t>
              </w:r>
              <w:r>
                <w:rPr>
                  <w:rStyle w:val="Hyperlink"/>
                </w:rPr>
                <w:t>t effectiveness of strategies to increase coverage</w:t>
              </w:r>
            </w:hyperlink>
          </w:p>
          <w:p w14:paraId="19DFDF07" w14:textId="0657AEAE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61" w:history="1">
              <w:r>
                <w:rPr>
                  <w:rStyle w:val="Hyperlink"/>
                </w:rPr>
                <w:t>Ryman et al:  strategies to increase coverage</w:t>
              </w:r>
            </w:hyperlink>
          </w:p>
          <w:p w14:paraId="3C7BC258" w14:textId="026B8395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62" w:history="1">
              <w:r>
                <w:rPr>
                  <w:rStyle w:val="Hyperlink"/>
                </w:rPr>
                <w:t>Briss et al, Reviews of evidence regarding interventions to improve coverage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89A6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CA3C8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6420E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4DF688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</w:tr>
      <w:tr w:rsidR="00000000" w14:paraId="615E50D4" w14:textId="77777777">
        <w:trPr>
          <w:trHeight w:val="1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CC63" w14:textId="77777777" w:rsidR="00000000" w:rsidRDefault="00453294">
            <w:pPr>
              <w:spacing w:after="0" w:line="240" w:lineRule="auto"/>
            </w:pPr>
            <w:r>
              <w:t>A3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B374" w14:textId="77777777" w:rsidR="00000000" w:rsidRDefault="00453294">
            <w:pPr>
              <w:spacing w:after="0" w:line="240" w:lineRule="auto"/>
            </w:pPr>
            <w:r>
              <w:t>challenges &amp; solutions to high vaccination coverage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398A" w14:textId="77777777" w:rsidR="00000000" w:rsidRDefault="00453294">
            <w:pPr>
              <w:spacing w:after="0" w:line="240" w:lineRule="auto"/>
            </w:pPr>
            <w:r>
              <w:t>Strategies to Strengthen immunization coverage at the health facility leve</w:t>
            </w:r>
            <w:r>
              <w:t>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3928" w14:textId="77777777" w:rsidR="00000000" w:rsidRDefault="00453294">
            <w:pPr>
              <w:spacing w:after="0" w:line="240" w:lineRule="auto"/>
            </w:pPr>
            <w:r>
              <w:t>Become familiar with ways health workers can use their data for decision making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54BA" w14:textId="5A6D558A" w:rsidR="00000000" w:rsidRDefault="00453294">
            <w:pPr>
              <w:spacing w:after="0" w:line="240" w:lineRule="auto"/>
            </w:pPr>
            <w:r>
              <w:t xml:space="preserve">Document:  </w:t>
            </w:r>
            <w:hyperlink r:id="rId63" w:history="1">
              <w:r>
                <w:rPr>
                  <w:rStyle w:val="Hyperlink"/>
                </w:rPr>
                <w:t>increasing immunization coverage at the health facility level  (WHO</w:t>
              </w:r>
            </w:hyperlink>
            <w: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28F4" w14:textId="77777777" w:rsidR="00000000" w:rsidRDefault="00453294">
            <w:pPr>
              <w:spacing w:after="0" w:line="240" w:lineRule="auto"/>
            </w:pPr>
            <w: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B705A0" w14:textId="77777777" w:rsidR="00000000" w:rsidRDefault="004532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F9959" w14:textId="77777777" w:rsidR="00000000" w:rsidRDefault="004532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ADD72" w14:textId="77777777" w:rsidR="00000000" w:rsidRDefault="00453294">
            <w:pPr>
              <w:spacing w:after="0" w:line="240" w:lineRule="auto"/>
              <w:rPr>
                <w:rFonts w:cs="Calibri"/>
              </w:rPr>
            </w:pPr>
          </w:p>
        </w:tc>
      </w:tr>
      <w:tr w:rsidR="00000000" w14:paraId="3DE48EA4" w14:textId="77777777">
        <w:trPr>
          <w:trHeight w:val="1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BCDD" w14:textId="77777777" w:rsidR="00000000" w:rsidRDefault="00453294">
            <w:pPr>
              <w:spacing w:after="0" w:line="240" w:lineRule="auto"/>
            </w:pPr>
            <w:r>
              <w:t>A4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610B" w14:textId="77777777" w:rsidR="00000000" w:rsidRDefault="00453294">
            <w:pPr>
              <w:spacing w:after="0" w:line="240" w:lineRule="auto"/>
            </w:pPr>
            <w:r>
              <w:t>challenges &amp; solutions to high vaccination coverage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DF73" w14:textId="77777777" w:rsidR="00000000" w:rsidRDefault="00453294">
            <w:pPr>
              <w:spacing w:after="0" w:line="240" w:lineRule="auto"/>
            </w:pPr>
            <w:r>
              <w:t>Missed opportunities for vaccination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33AA" w14:textId="77777777" w:rsidR="00000000" w:rsidRDefault="00453294">
            <w:pPr>
              <w:spacing w:after="0" w:line="240" w:lineRule="auto"/>
            </w:pPr>
            <w:r>
              <w:t>Become familiar with reasons why children miss being vaccinated even when they show up at the facility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E863" w14:textId="77777777" w:rsidR="00000000" w:rsidRDefault="00453294">
            <w:pPr>
              <w:spacing w:after="0" w:line="240" w:lineRule="auto"/>
            </w:pPr>
            <w:r>
              <w:t xml:space="preserve">Presentation:  </w:t>
            </w:r>
            <w:hyperlink r:id="rId64" w:history="1">
              <w:r>
                <w:rPr>
                  <w:rStyle w:val="Hyperlink"/>
                </w:rPr>
                <w:t>Overview of missed opportunities for vaccination – why they happen, how to address them</w:t>
              </w:r>
              <w:r>
                <w:rPr>
                  <w:rStyle w:val="Hyperlink"/>
                </w:rPr>
                <w:t>.</w:t>
              </w:r>
            </w:hyperlink>
            <w: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D974" w14:textId="287EADFB" w:rsidR="00000000" w:rsidRDefault="00453294">
            <w:pPr>
              <w:spacing w:after="0" w:line="240" w:lineRule="auto"/>
              <w:rPr>
                <w:rStyle w:val="Hyperlink"/>
              </w:rPr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65" w:history="1">
              <w:r>
                <w:rPr>
                  <w:rStyle w:val="Hyperlink"/>
                </w:rPr>
                <w:t>Systematic review of missed opportunities for vaccination (2014)</w:t>
              </w:r>
            </w:hyperlink>
          </w:p>
          <w:p w14:paraId="263D3FE3" w14:textId="77777777" w:rsidR="00000000" w:rsidRDefault="00453294">
            <w:pPr>
              <w:spacing w:after="0" w:line="240" w:lineRule="auto"/>
              <w:rPr>
                <w:rStyle w:val="Hyperlink"/>
              </w:rPr>
            </w:pPr>
          </w:p>
          <w:p w14:paraId="16C8ADFA" w14:textId="77777777" w:rsidR="00000000" w:rsidRDefault="00453294">
            <w:pPr>
              <w:spacing w:after="0" w:line="240" w:lineRule="auto"/>
              <w:rPr>
                <w:rStyle w:val="Hyperlink"/>
              </w:rPr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66" w:history="1">
              <w:r>
                <w:rPr>
                  <w:rStyle w:val="Hyperlink"/>
                </w:rPr>
                <w:t>Planning Guide to Reduce Missed opportunities for Vaccination (2017)</w:t>
              </w:r>
            </w:hyperlink>
          </w:p>
          <w:p w14:paraId="2BC70060" w14:textId="77777777" w:rsidR="00000000" w:rsidRDefault="00453294">
            <w:pPr>
              <w:spacing w:after="0" w:line="240" w:lineRule="auto"/>
            </w:pPr>
          </w:p>
          <w:p w14:paraId="0C663154" w14:textId="25A076B9" w:rsidR="00000000" w:rsidRDefault="00453294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67" w:history="1">
              <w:r>
                <w:rPr>
                  <w:rStyle w:val="Hyperlink"/>
                </w:rPr>
                <w:t>Presentation: Lessons from MOV</w:t>
              </w:r>
              <w:r>
                <w:rPr>
                  <w:rStyle w:val="Hyperlink"/>
                </w:rPr>
                <w:t xml:space="preserve"> assessments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7F1DCF" w14:textId="77777777" w:rsidR="00000000" w:rsidRDefault="00453294">
            <w:pPr>
              <w:spacing w:after="0" w:line="240" w:lineRule="auto"/>
              <w:rPr>
                <w:rFonts w:cs="Calibri"/>
              </w:rPr>
            </w:pPr>
            <w:r>
              <w:t>To be completed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7742D" w14:textId="77777777" w:rsidR="00000000" w:rsidRDefault="00453294">
            <w:pPr>
              <w:pStyle w:val="mt-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8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Recognizing Common Reasons for Missed Opportunities for Vaccination 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text-mute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20C45B" w14:textId="77777777" w:rsidR="00000000" w:rsidRDefault="00453294">
            <w:pPr>
              <w:pStyle w:val="mt-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Interventions to Reduce MOV: Health System Issues </w:t>
              </w:r>
            </w:hyperlink>
          </w:p>
          <w:p w14:paraId="0D19A104" w14:textId="77777777" w:rsidR="00000000" w:rsidRDefault="004532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2D4A5" w14:textId="77777777" w:rsidR="00000000" w:rsidRDefault="00453294">
            <w:pPr>
              <w:spacing w:after="0" w:line="240" w:lineRule="auto"/>
              <w:rPr>
                <w:rFonts w:cs="Calibri"/>
              </w:rPr>
            </w:pPr>
          </w:p>
        </w:tc>
      </w:tr>
      <w:tr w:rsidR="00000000" w14:paraId="270C4953" w14:textId="77777777">
        <w:trPr>
          <w:trHeight w:val="190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F51C" w14:textId="77777777" w:rsidR="00000000" w:rsidRDefault="00453294">
            <w:pPr>
              <w:spacing w:after="0" w:line="240" w:lineRule="auto"/>
            </w:pPr>
            <w: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EA3E" w14:textId="77777777" w:rsidR="00000000" w:rsidRDefault="00453294">
            <w:pPr>
              <w:spacing w:after="0" w:line="240" w:lineRule="auto"/>
            </w:pPr>
            <w:r>
              <w:t xml:space="preserve">RI system:  Immunization safety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39C6" w14:textId="77777777" w:rsidR="00000000" w:rsidRDefault="00453294">
            <w:pPr>
              <w:spacing w:after="0" w:line="240" w:lineRule="auto"/>
            </w:pPr>
            <w:r>
              <w:t>The basics of immunization safety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0DF7" w14:textId="77777777" w:rsidR="00000000" w:rsidRDefault="00453294">
            <w:pPr>
              <w:spacing w:after="0" w:line="240" w:lineRule="auto"/>
            </w:pPr>
            <w:r>
              <w:t xml:space="preserve">Learn about how to ensure vaccinations are given safely and how to </w:t>
            </w:r>
            <w:r>
              <w:t>manage vaccine wastage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7692" w14:textId="187E27BD" w:rsidR="00000000" w:rsidRDefault="00453294">
            <w:pPr>
              <w:spacing w:after="0" w:line="240" w:lineRule="auto"/>
            </w:pPr>
            <w:r>
              <w:t xml:space="preserve">Read: </w:t>
            </w:r>
            <w:hyperlink r:id="rId70" w:history="1">
              <w:r>
                <w:rPr>
                  <w:rStyle w:val="Hyperlink"/>
                </w:rPr>
                <w:t>MLM Module 2 – immunization safety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C7F0" w14:textId="2AE44B5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71" w:history="1">
              <w:r>
                <w:rPr>
                  <w:rStyle w:val="Hyperlink"/>
                </w:rPr>
                <w:t>Immunization in Practice Section 4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EF045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455BE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2939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000000" w14:paraId="5AA4259C" w14:textId="77777777">
        <w:trPr>
          <w:trHeight w:val="94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B1EC" w14:textId="77777777" w:rsidR="00000000" w:rsidRDefault="00453294">
            <w:pPr>
              <w:spacing w:after="0" w:line="240" w:lineRule="auto"/>
            </w:pPr>
            <w:r>
              <w:t> A6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6A1F" w14:textId="77777777" w:rsidR="00000000" w:rsidRDefault="00453294">
            <w:pPr>
              <w:spacing w:after="0" w:line="240" w:lineRule="auto"/>
            </w:pPr>
            <w:r>
              <w:t>RI system:  vaccination session planning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1ABA" w14:textId="77777777" w:rsidR="00000000" w:rsidRDefault="00453294">
            <w:pPr>
              <w:spacing w:after="0" w:line="240" w:lineRule="auto"/>
            </w:pPr>
            <w:r>
              <w:t>Planning immunization sessions to reach every infant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127E2" w14:textId="77777777" w:rsidR="00000000" w:rsidRDefault="00453294">
            <w:pPr>
              <w:spacing w:after="0" w:line="240" w:lineRule="auto"/>
            </w:pPr>
            <w: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12E5" w14:textId="6D2488A5" w:rsidR="00000000" w:rsidRDefault="00453294">
            <w:pPr>
              <w:spacing w:after="0" w:line="240" w:lineRule="auto"/>
            </w:pPr>
            <w:r>
              <w:t>Read</w:t>
            </w:r>
            <w:hyperlink r:id="rId72" w:history="1">
              <w:r>
                <w:rPr>
                  <w:rStyle w:val="Hyperlink"/>
                </w:rPr>
                <w:t>:  Immunization in Practice – Section 5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B687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7842FE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AEDDF9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648D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000000" w14:paraId="0DAAD6A6" w14:textId="77777777">
        <w:trPr>
          <w:trHeight w:val="7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A78A" w14:textId="77777777" w:rsidR="00000000" w:rsidRDefault="00453294">
            <w:pPr>
              <w:spacing w:after="0" w:line="240" w:lineRule="auto"/>
            </w:pPr>
            <w:r>
              <w:t>A7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391E" w14:textId="77777777" w:rsidR="00000000" w:rsidRDefault="00453294">
            <w:pPr>
              <w:spacing w:after="0" w:line="240" w:lineRule="auto"/>
            </w:pPr>
            <w:r>
              <w:t>RI system:  vaccination session implementation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0186" w14:textId="77777777" w:rsidR="00000000" w:rsidRDefault="00453294">
            <w:pPr>
              <w:spacing w:after="0" w:line="240" w:lineRule="auto"/>
            </w:pPr>
            <w:r>
              <w:t>The basics of holding an immunization session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526A" w14:textId="77777777" w:rsidR="00000000" w:rsidRDefault="00453294">
            <w:pPr>
              <w:spacing w:after="0" w:line="240" w:lineRule="auto"/>
            </w:pPr>
            <w:r>
              <w:t> 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7316" w14:textId="34B6EA81" w:rsidR="00000000" w:rsidRDefault="00453294">
            <w:pPr>
              <w:spacing w:after="0" w:line="240" w:lineRule="auto"/>
            </w:pPr>
            <w:r>
              <w:t xml:space="preserve">Read:  </w:t>
            </w:r>
            <w:hyperlink r:id="rId73" w:history="1">
              <w:r>
                <w:rPr>
                  <w:rStyle w:val="Hyperlink"/>
                </w:rPr>
                <w:t>Immunization in Practice – Section 6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4173E" w14:textId="77777777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FEE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F19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06B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000000" w14:paraId="4C7E954F" w14:textId="77777777">
        <w:trPr>
          <w:trHeight w:val="12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669C" w14:textId="77777777" w:rsidR="00000000" w:rsidRDefault="00453294">
            <w:pPr>
              <w:spacing w:after="0" w:line="240" w:lineRule="auto"/>
            </w:pPr>
            <w:r>
              <w:t>A1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5361" w14:textId="77777777" w:rsidR="00000000" w:rsidRDefault="00453294">
            <w:pPr>
              <w:spacing w:after="0" w:line="240" w:lineRule="auto"/>
            </w:pPr>
            <w:r>
              <w:t>challenges &amp; solutions to high vaccination coverage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6882" w14:textId="77777777" w:rsidR="00000000" w:rsidRDefault="00453294">
            <w:pPr>
              <w:spacing w:after="0" w:line="240" w:lineRule="auto"/>
            </w:pPr>
            <w:r>
              <w:t>Strategies for using supplementary immunization activities to improve routine immunization activities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2CE1" w14:textId="77777777" w:rsidR="00000000" w:rsidRDefault="00453294">
            <w:pPr>
              <w:spacing w:after="0" w:line="240" w:lineRule="auto"/>
            </w:pPr>
            <w:r>
              <w:t xml:space="preserve">Become </w:t>
            </w:r>
            <w:r>
              <w:t>familiar with specific SIA-RI synergy activities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6BB6" w14:textId="6CE19048" w:rsidR="00000000" w:rsidRDefault="00453294">
            <w:pPr>
              <w:spacing w:after="0" w:line="240" w:lineRule="auto"/>
            </w:pPr>
            <w:r>
              <w:t xml:space="preserve">Presentation:  </w:t>
            </w:r>
            <w:hyperlink r:id="rId74" w:history="1">
              <w:r>
                <w:rPr>
                  <w:rStyle w:val="Hyperlink"/>
                </w:rPr>
                <w:t>Campaigns and routine immunization services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F2E5" w14:textId="276CC080" w:rsidR="00000000" w:rsidRDefault="00453294">
            <w:pPr>
              <w:pStyle w:val="ListParagraph"/>
              <w:spacing w:after="0" w:line="240" w:lineRule="auto"/>
              <w:ind w:left="360" w:hanging="360"/>
            </w:pPr>
            <w:r>
              <w:rPr>
                <w:rFonts w:ascii="Symbol" w:hAnsi="Symbol"/>
              </w:rPr>
              <w:t>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 </w:t>
            </w:r>
            <w:hyperlink r:id="rId75" w:history="1">
              <w:r>
                <w:rPr>
                  <w:rStyle w:val="Hyperlink"/>
                </w:rPr>
                <w:t>Nine opportunities to strengthen routine immunization during campaigns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9C037F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  <w:r>
              <w:t>To be completed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3F03D7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32DBE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cs="Calibri"/>
              </w:rPr>
            </w:pPr>
          </w:p>
        </w:tc>
      </w:tr>
    </w:tbl>
    <w:p w14:paraId="2F32D5E3" w14:textId="77777777" w:rsidR="00000000" w:rsidRDefault="00453294">
      <w:r>
        <w:t> </w:t>
      </w:r>
    </w:p>
    <w:p w14:paraId="4C44254E" w14:textId="77777777" w:rsidR="00000000" w:rsidRDefault="00453294">
      <w:r>
        <w:t> </w:t>
      </w:r>
    </w:p>
    <w:p w14:paraId="6D57F1E2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>ADVANCED CURRICULUM:  IN-DEPTH MODULES ON GLOBAL SYSTEM TOPICS</w:t>
      </w:r>
    </w:p>
    <w:p w14:paraId="61E74F0E" w14:textId="77777777" w:rsidR="00000000" w:rsidRDefault="0045329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487"/>
        <w:gridCol w:w="2041"/>
        <w:gridCol w:w="2028"/>
        <w:gridCol w:w="2907"/>
        <w:gridCol w:w="1781"/>
      </w:tblGrid>
      <w:tr w:rsidR="00000000" w14:paraId="51A1135A" w14:textId="77777777">
        <w:trPr>
          <w:trHeight w:val="708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B1EB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#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3214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System category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FB77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Topic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D8AD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Learning objective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3386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Assigned document &amp; location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6AE1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 xml:space="preserve">Additional </w:t>
            </w:r>
            <w:r>
              <w:rPr>
                <w:b/>
                <w:bCs/>
              </w:rPr>
              <w:t>reading</w:t>
            </w:r>
          </w:p>
        </w:tc>
      </w:tr>
      <w:tr w:rsidR="00000000" w14:paraId="5E026DC7" w14:textId="77777777">
        <w:trPr>
          <w:trHeight w:val="117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46D4" w14:textId="77777777" w:rsidR="00000000" w:rsidRDefault="00453294">
            <w:pPr>
              <w:spacing w:after="0" w:line="240" w:lineRule="auto"/>
            </w:pPr>
            <w:r>
              <w:t>B1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F269" w14:textId="77777777" w:rsidR="00000000" w:rsidRDefault="00453294">
            <w:pPr>
              <w:spacing w:after="0" w:line="240" w:lineRule="auto"/>
            </w:pPr>
            <w:r>
              <w:t>Global action plans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4CE2" w14:textId="77777777" w:rsidR="00000000" w:rsidRDefault="00453294">
            <w:pPr>
              <w:spacing w:after="0" w:line="240" w:lineRule="auto"/>
            </w:pPr>
            <w:r>
              <w:t>CDC’s strategic immunization action plan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506C" w14:textId="77777777" w:rsidR="00000000" w:rsidRDefault="00453294">
            <w:pPr>
              <w:spacing w:after="0" w:line="240" w:lineRule="auto"/>
            </w:pPr>
            <w:r>
              <w:t>Overview of CDC’s strategic framework for improving immunization programs globally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FC4D" w14:textId="77777777" w:rsidR="00000000" w:rsidRDefault="00453294">
            <w:pPr>
              <w:spacing w:after="0" w:line="240" w:lineRule="auto"/>
              <w:rPr>
                <w:color w:val="0000FF"/>
                <w:u w:val="single"/>
              </w:rPr>
            </w:pPr>
            <w:r>
              <w:t xml:space="preserve">Read:  </w:t>
            </w:r>
            <w:hyperlink r:id="rId76" w:history="1">
              <w:r>
                <w:rPr>
                  <w:rStyle w:val="Hyperlink"/>
                </w:rPr>
                <w:t>CDC Global Immunization strategic framework 2021-2030</w:t>
              </w:r>
            </w:hyperlink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F13D" w14:textId="77777777" w:rsidR="00000000" w:rsidRDefault="00453294">
            <w:pPr>
              <w:pStyle w:val="ListParagraph"/>
              <w:spacing w:after="0" w:line="240" w:lineRule="auto"/>
              <w:ind w:left="360"/>
            </w:pPr>
            <w:r>
              <w:t> </w:t>
            </w:r>
          </w:p>
        </w:tc>
      </w:tr>
      <w:tr w:rsidR="00000000" w14:paraId="6868FA24" w14:textId="77777777">
        <w:trPr>
          <w:trHeight w:val="17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431C" w14:textId="77777777" w:rsidR="00000000" w:rsidRDefault="00453294">
            <w:pPr>
              <w:spacing w:after="0" w:line="240" w:lineRule="auto"/>
            </w:pPr>
            <w:r>
              <w:t>B2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5E84" w14:textId="77777777" w:rsidR="00000000" w:rsidRDefault="00453294">
            <w:pPr>
              <w:spacing w:after="0" w:line="240" w:lineRule="auto"/>
            </w:pPr>
            <w:r>
              <w:t>Monitoring &amp; evaluation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C386" w14:textId="77777777" w:rsidR="00000000" w:rsidRDefault="00453294">
            <w:pPr>
              <w:spacing w:after="0" w:line="240" w:lineRule="auto"/>
            </w:pPr>
            <w:r>
              <w:t>Overview of EPI review methodology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AFCA" w14:textId="77777777" w:rsidR="00000000" w:rsidRDefault="00453294">
            <w:pPr>
              <w:spacing w:after="0" w:line="240" w:lineRule="auto"/>
            </w:pPr>
            <w:r>
              <w:t>Become familiar with how to cond</w:t>
            </w:r>
            <w:r>
              <w:t>uct an EPI review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B67D" w14:textId="1F036637" w:rsidR="00000000" w:rsidRDefault="00453294">
            <w:pPr>
              <w:spacing w:after="0" w:line="240" w:lineRule="auto"/>
            </w:pPr>
            <w:r>
              <w:t xml:space="preserve">Presentation:  </w:t>
            </w:r>
            <w:hyperlink r:id="rId77" w:history="1">
              <w:r>
                <w:rPr>
                  <w:rStyle w:val="Hyperlink"/>
                </w:rPr>
                <w:t>How to conduct an EPI review</w:t>
              </w:r>
            </w:hyperlink>
          </w:p>
          <w:p w14:paraId="2065DF02" w14:textId="7B01A59E" w:rsidR="00000000" w:rsidRDefault="00453294">
            <w:pPr>
              <w:spacing w:after="0" w:line="240" w:lineRule="auto"/>
            </w:pPr>
            <w:r>
              <w:t xml:space="preserve">Document:  </w:t>
            </w:r>
            <w:hyperlink r:id="rId78" w:history="1">
              <w:r>
                <w:rPr>
                  <w:rStyle w:val="Hyperlink"/>
                </w:rPr>
                <w:t>AFRO EPI review guidelines</w:t>
              </w:r>
            </w:hyperlink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2478" w14:textId="77777777" w:rsidR="00000000" w:rsidRDefault="00453294"/>
        </w:tc>
      </w:tr>
      <w:tr w:rsidR="00000000" w14:paraId="3328217D" w14:textId="77777777">
        <w:trPr>
          <w:trHeight w:val="18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1C4F" w14:textId="77777777" w:rsidR="00000000" w:rsidRDefault="00453294">
            <w:pPr>
              <w:spacing w:after="0" w:line="240" w:lineRule="auto"/>
            </w:pPr>
            <w:r>
              <w:t>B3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C563" w14:textId="77777777" w:rsidR="00000000" w:rsidRDefault="00453294">
            <w:pPr>
              <w:spacing w:after="0" w:line="240" w:lineRule="auto"/>
            </w:pPr>
            <w:r>
              <w:t>Monitoring</w:t>
            </w:r>
            <w:r>
              <w:t xml:space="preserve"> &amp; evaluation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33C5" w14:textId="77777777" w:rsidR="00000000" w:rsidRDefault="00453294">
            <w:pPr>
              <w:spacing w:after="0" w:line="240" w:lineRule="auto"/>
            </w:pPr>
            <w:r>
              <w:t>The EPI coverage survey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C703" w14:textId="77777777" w:rsidR="00000000" w:rsidRDefault="00453294">
            <w:pPr>
              <w:spacing w:after="0" w:line="240" w:lineRule="auto"/>
            </w:pPr>
            <w:r>
              <w:t>Become familiar with the WHO method for coverage surveys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8BA5" w14:textId="75AC0C3F" w:rsidR="00000000" w:rsidRDefault="00453294">
            <w:pPr>
              <w:spacing w:after="0" w:line="240" w:lineRule="auto"/>
              <w:rPr>
                <w:rStyle w:val="Hyperlink"/>
              </w:rPr>
            </w:pPr>
            <w:r>
              <w:t xml:space="preserve">Read:  </w:t>
            </w:r>
            <w:hyperlink r:id="rId79" w:history="1">
              <w:r>
                <w:rPr>
                  <w:rStyle w:val="Hyperlink"/>
                </w:rPr>
                <w:t>MLM Module 7 – The EPI coverage survey</w:t>
              </w:r>
            </w:hyperlink>
          </w:p>
          <w:p w14:paraId="1E46EC58" w14:textId="77777777" w:rsidR="00000000" w:rsidRDefault="00453294">
            <w:pPr>
              <w:spacing w:after="0" w:line="240" w:lineRule="auto"/>
              <w:rPr>
                <w:rStyle w:val="Hyperlink"/>
              </w:rPr>
            </w:pPr>
          </w:p>
          <w:p w14:paraId="21E5B6AD" w14:textId="77777777" w:rsidR="00000000" w:rsidRDefault="00453294">
            <w:pPr>
              <w:spacing w:after="0" w:line="240" w:lineRule="auto"/>
            </w:pPr>
            <w:hyperlink r:id="rId80" w:history="1">
              <w:r>
                <w:rPr>
                  <w:rStyle w:val="Hyperlink"/>
                  <w:color w:val="auto"/>
                  <w:u w:val="none"/>
                </w:rPr>
                <w:t xml:space="preserve"> Read</w:t>
              </w:r>
              <w:r>
                <w:rPr>
                  <w:rStyle w:val="Hyperlink"/>
                </w:rPr>
                <w:t>:  Draft revision of the WHO Immunization coverage survey guidelines</w:t>
              </w:r>
            </w:hyperlink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C200" w14:textId="77777777" w:rsidR="00000000" w:rsidRDefault="00453294">
            <w:pPr>
              <w:rPr>
                <w:color w:val="0000FF"/>
                <w:u w:val="single"/>
              </w:rPr>
            </w:pPr>
          </w:p>
        </w:tc>
      </w:tr>
      <w:tr w:rsidR="00000000" w14:paraId="4F787AB7" w14:textId="77777777">
        <w:trPr>
          <w:trHeight w:val="18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87B0" w14:textId="77777777" w:rsidR="00000000" w:rsidRDefault="00453294">
            <w:pPr>
              <w:spacing w:after="0" w:line="240" w:lineRule="auto"/>
            </w:pPr>
            <w:r>
              <w:t>B4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2529" w14:textId="77777777" w:rsidR="00000000" w:rsidRDefault="00453294">
            <w:pPr>
              <w:spacing w:after="0" w:line="240" w:lineRule="auto"/>
            </w:pPr>
            <w:r>
              <w:t>GID strategic planning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4E8A" w14:textId="77777777" w:rsidR="00000000" w:rsidRDefault="00453294">
            <w:pPr>
              <w:spacing w:after="0" w:line="240" w:lineRule="auto"/>
            </w:pPr>
            <w:r>
              <w:t>GID routine immunization rese</w:t>
            </w:r>
            <w:r>
              <w:t>arch agenda report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EA43" w14:textId="77777777" w:rsidR="00000000" w:rsidRDefault="00453294">
            <w:pPr>
              <w:spacing w:after="0" w:line="240" w:lineRule="auto"/>
            </w:pPr>
            <w:r>
              <w:t>Become familiar with research areas in routine immunization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D5EB" w14:textId="157B16BF" w:rsidR="00000000" w:rsidRDefault="00453294">
            <w:pPr>
              <w:spacing w:after="0" w:line="240" w:lineRule="auto"/>
            </w:pPr>
            <w:r>
              <w:t xml:space="preserve">Read:  </w:t>
            </w:r>
            <w:hyperlink r:id="rId81" w:history="1">
              <w:r>
                <w:rPr>
                  <w:rStyle w:val="Hyperlink"/>
                </w:rPr>
                <w:t>GID routine immunization research agenda article on gaps in research on routine immunization</w:t>
              </w:r>
            </w:hyperlink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8072" w14:textId="77777777" w:rsidR="00000000" w:rsidRDefault="00453294"/>
        </w:tc>
      </w:tr>
      <w:tr w:rsidR="00000000" w14:paraId="6F04B5F8" w14:textId="77777777">
        <w:trPr>
          <w:trHeight w:val="188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AE7F" w14:textId="77777777" w:rsidR="00000000" w:rsidRDefault="00453294">
            <w:pPr>
              <w:spacing w:after="0" w:line="240" w:lineRule="auto"/>
            </w:pPr>
            <w:r>
              <w:t>B5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2D2E" w14:textId="77777777" w:rsidR="00000000" w:rsidRDefault="00453294">
            <w:pPr>
              <w:spacing w:after="0" w:line="240" w:lineRule="auto"/>
            </w:pPr>
            <w:r>
              <w:t>N</w:t>
            </w:r>
            <w:r>
              <w:t>ew vaccines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1EE5" w14:textId="77777777" w:rsidR="00000000" w:rsidRDefault="00453294">
            <w:pPr>
              <w:spacing w:after="0" w:line="240" w:lineRule="auto"/>
            </w:pPr>
            <w:r>
              <w:t>Introduction to new vaccines and technologies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0139" w14:textId="77777777" w:rsidR="00000000" w:rsidRDefault="00453294">
            <w:pPr>
              <w:spacing w:after="0" w:line="240" w:lineRule="auto"/>
            </w:pPr>
            <w: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ACDE" w14:textId="54F305FF" w:rsidR="00000000" w:rsidRDefault="00453294">
            <w:pPr>
              <w:spacing w:after="0" w:line="240" w:lineRule="auto"/>
            </w:pPr>
            <w:r>
              <w:t xml:space="preserve">Read:  </w:t>
            </w:r>
            <w:hyperlink r:id="rId82" w:history="1">
              <w:r>
                <w:rPr>
                  <w:rStyle w:val="Hyperlink"/>
                </w:rPr>
                <w:t>Immunization essentials, Chapter 11</w:t>
              </w:r>
            </w:hyperlink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8D39" w14:textId="77777777" w:rsidR="00000000" w:rsidRDefault="00453294">
            <w:pPr>
              <w:spacing w:after="0" w:line="240" w:lineRule="auto"/>
            </w:pPr>
            <w:r>
              <w:t> </w:t>
            </w:r>
          </w:p>
        </w:tc>
      </w:tr>
      <w:tr w:rsidR="00000000" w14:paraId="6D6085E1" w14:textId="77777777">
        <w:trPr>
          <w:trHeight w:val="18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EB73" w14:textId="77777777" w:rsidR="00000000" w:rsidRDefault="00453294">
            <w:pPr>
              <w:spacing w:after="0" w:line="240" w:lineRule="auto"/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541A" w14:textId="77777777" w:rsidR="00000000" w:rsidRDefault="00453294">
            <w:pPr>
              <w:spacing w:after="0" w:line="240" w:lineRule="auto"/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1B33" w14:textId="77777777" w:rsidR="00000000" w:rsidRDefault="00453294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3E62" w14:textId="77777777" w:rsidR="00000000" w:rsidRDefault="00453294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FAAF" w14:textId="77777777" w:rsidR="00000000" w:rsidRDefault="00453294">
            <w:pPr>
              <w:spacing w:after="0" w:line="240" w:lineRule="auto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F78C" w14:textId="77777777" w:rsidR="00000000" w:rsidRDefault="00453294">
            <w:pPr>
              <w:spacing w:after="0" w:line="240" w:lineRule="auto"/>
            </w:pPr>
          </w:p>
        </w:tc>
      </w:tr>
    </w:tbl>
    <w:p w14:paraId="2AFD08A4" w14:textId="77777777" w:rsidR="00000000" w:rsidRDefault="0045329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273"/>
        <w:gridCol w:w="1637"/>
        <w:gridCol w:w="1551"/>
        <w:gridCol w:w="1440"/>
        <w:gridCol w:w="1313"/>
        <w:gridCol w:w="1278"/>
        <w:gridCol w:w="865"/>
        <w:gridCol w:w="858"/>
      </w:tblGrid>
      <w:tr w:rsidR="00000000" w14:paraId="4E81996E" w14:textId="77777777">
        <w:trPr>
          <w:trHeight w:val="64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57D1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#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B768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System category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D962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Topic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852E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Learning objective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03DD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 xml:space="preserve">Assigned document &amp; </w:t>
            </w:r>
            <w:r>
              <w:rPr>
                <w:b/>
                <w:bCs/>
              </w:rPr>
              <w:t>location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FA13" w14:textId="77777777" w:rsidR="00000000" w:rsidRDefault="00453294">
            <w:pPr>
              <w:spacing w:after="0" w:line="240" w:lineRule="auto"/>
            </w:pPr>
            <w:r>
              <w:rPr>
                <w:b/>
                <w:bCs/>
              </w:rPr>
              <w:t>Additional reading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CA54A3" w14:textId="77777777" w:rsidR="00000000" w:rsidRDefault="004532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Presentation video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1DD1BA" w14:textId="77777777" w:rsidR="00000000" w:rsidRDefault="004532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Related training video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039540" w14:textId="77777777" w:rsidR="00000000" w:rsidRDefault="004532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Related online courses</w:t>
            </w:r>
          </w:p>
        </w:tc>
      </w:tr>
      <w:tr w:rsidR="00000000" w14:paraId="1A50F1A8" w14:textId="77777777">
        <w:trPr>
          <w:trHeight w:val="7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015A" w14:textId="77777777" w:rsidR="00000000" w:rsidRDefault="00453294">
            <w:pPr>
              <w:spacing w:after="0" w:line="240" w:lineRule="auto"/>
            </w:pPr>
            <w:r>
              <w:t>B6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C538" w14:textId="77777777" w:rsidR="00000000" w:rsidRDefault="00453294">
            <w:pPr>
              <w:spacing w:after="0" w:line="240" w:lineRule="auto"/>
            </w:pPr>
            <w:r>
              <w:t>Global Action Plans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C1EB" w14:textId="77777777" w:rsidR="00000000" w:rsidRDefault="00453294">
            <w:pPr>
              <w:spacing w:after="0" w:line="240" w:lineRule="auto"/>
            </w:pPr>
            <w:r>
              <w:t>WHO Vision and Mission in Immunizations and Vaccines (2015-2030)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46A3" w14:textId="77777777" w:rsidR="00000000" w:rsidRDefault="00453294">
            <w:pPr>
              <w:spacing w:after="0" w:line="240" w:lineRule="auto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B522" w14:textId="77777777" w:rsidR="00000000" w:rsidRDefault="00453294">
            <w:pPr>
              <w:spacing w:after="0" w:line="240" w:lineRule="auto"/>
            </w:pPr>
            <w:r>
              <w:t xml:space="preserve">Read: </w:t>
            </w:r>
            <w:hyperlink r:id="rId83" w:history="1">
              <w:r>
                <w:rPr>
                  <w:rStyle w:val="Hyperlink"/>
                </w:rPr>
                <w:t>WHO Vision and Mission 2015-2030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8BA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="Symbol" w:hAnsi="Symbo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74C2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53B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83D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000000" w14:paraId="214DA072" w14:textId="77777777">
        <w:trPr>
          <w:trHeight w:val="7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772D" w14:textId="77777777" w:rsidR="00000000" w:rsidRDefault="00453294">
            <w:pPr>
              <w:spacing w:after="0" w:line="240" w:lineRule="auto"/>
            </w:pPr>
            <w:r>
              <w:t>B7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B537" w14:textId="77777777" w:rsidR="00000000" w:rsidRDefault="00453294">
            <w:pPr>
              <w:spacing w:after="0" w:line="240" w:lineRule="auto"/>
            </w:pPr>
            <w:r>
              <w:t>Global Action Plans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DDD8" w14:textId="77777777" w:rsidR="00000000" w:rsidRDefault="00453294">
            <w:pPr>
              <w:spacing w:after="0" w:line="240" w:lineRule="auto"/>
            </w:pPr>
            <w:r>
              <w:t xml:space="preserve">Global </w:t>
            </w:r>
            <w:r>
              <w:t>Measles and Rubella Strategic Framework 2021-2030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594B" w14:textId="77777777" w:rsidR="00000000" w:rsidRDefault="00453294">
            <w:pPr>
              <w:spacing w:after="0" w:line="240" w:lineRule="auto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8A6E" w14:textId="77777777" w:rsidR="00000000" w:rsidRDefault="00453294">
            <w:pPr>
              <w:spacing w:after="0" w:line="240" w:lineRule="auto"/>
            </w:pPr>
            <w:r>
              <w:t xml:space="preserve">Read: Global </w:t>
            </w:r>
            <w:hyperlink r:id="rId84" w:history="1">
              <w:r>
                <w:rPr>
                  <w:rStyle w:val="Hyperlink"/>
                </w:rPr>
                <w:t>MR Strategic Plan 2021-2030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8549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="Symbol" w:hAnsi="Symbo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DF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A18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8EF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000000" w14:paraId="02148FA4" w14:textId="77777777">
        <w:trPr>
          <w:trHeight w:val="7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0690" w14:textId="77777777" w:rsidR="00000000" w:rsidRDefault="00453294">
            <w:pPr>
              <w:spacing w:after="0" w:line="240" w:lineRule="auto"/>
            </w:pPr>
            <w:r>
              <w:t>B8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914A" w14:textId="77777777" w:rsidR="00000000" w:rsidRDefault="00453294">
            <w:pPr>
              <w:spacing w:after="0" w:line="240" w:lineRule="auto"/>
            </w:pPr>
            <w:r>
              <w:t>Global Action Plans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8898" w14:textId="77777777" w:rsidR="00000000" w:rsidRDefault="00453294">
            <w:pPr>
              <w:spacing w:after="0" w:line="240" w:lineRule="auto"/>
            </w:pPr>
            <w:r>
              <w:t>Polio</w:t>
            </w:r>
            <w:r>
              <w:t xml:space="preserve"> Endgame Strategic Plan 2019 - 2023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F859" w14:textId="77777777" w:rsidR="00000000" w:rsidRDefault="00453294">
            <w:pPr>
              <w:spacing w:after="0" w:line="240" w:lineRule="auto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52F7" w14:textId="77777777" w:rsidR="00000000" w:rsidRDefault="00453294">
            <w:pPr>
              <w:spacing w:after="0" w:line="240" w:lineRule="auto"/>
            </w:pPr>
            <w:r>
              <w:t xml:space="preserve">Read: </w:t>
            </w:r>
            <w:hyperlink r:id="rId85" w:history="1">
              <w:r>
                <w:rPr>
                  <w:rStyle w:val="Hyperlink"/>
                </w:rPr>
                <w:t>Polio Endgame Strategy 2019 - 2023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7F1C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="Symbol" w:hAnsi="Symbo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38C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B8C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63F4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000000" w14:paraId="4293E175" w14:textId="77777777">
        <w:trPr>
          <w:trHeight w:val="7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2DC3" w14:textId="77777777" w:rsidR="00000000" w:rsidRDefault="00453294">
            <w:pPr>
              <w:spacing w:after="0" w:line="240" w:lineRule="auto"/>
            </w:pPr>
            <w:r>
              <w:t>B9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91F7" w14:textId="77777777" w:rsidR="00000000" w:rsidRDefault="00453294">
            <w:pPr>
              <w:spacing w:after="0" w:line="240" w:lineRule="auto"/>
            </w:pPr>
            <w:r>
              <w:t>Global Action Plans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B8CD" w14:textId="77777777" w:rsidR="00000000" w:rsidRDefault="00453294">
            <w:pPr>
              <w:spacing w:after="0" w:line="240" w:lineRule="auto"/>
            </w:pPr>
            <w:r>
              <w:t xml:space="preserve">Global </w:t>
            </w:r>
            <w:r>
              <w:t>Routine Immunization Strategies and Practices (GRISP)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64EA" w14:textId="77777777" w:rsidR="00000000" w:rsidRDefault="00453294">
            <w:pPr>
              <w:spacing w:after="0" w:line="240" w:lineRule="auto"/>
            </w:pPr>
            <w:r>
              <w:t>A companion piece to the GVAP, focused on routine immunization strategies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5A0C" w14:textId="77777777" w:rsidR="00000000" w:rsidRDefault="00453294">
            <w:pPr>
              <w:spacing w:after="0" w:line="240" w:lineRule="auto"/>
            </w:pPr>
            <w:r>
              <w:t xml:space="preserve">Read: </w:t>
            </w:r>
            <w:hyperlink r:id="rId86" w:history="1">
              <w:r>
                <w:rPr>
                  <w:rStyle w:val="Hyperlink"/>
                </w:rPr>
                <w:t>GRISP Plan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4DB4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="Symbol" w:hAnsi="Symbo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04E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B6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FF2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000000" w14:paraId="38D261AB" w14:textId="77777777">
        <w:trPr>
          <w:trHeight w:val="7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19CC" w14:textId="77777777" w:rsidR="00000000" w:rsidRDefault="00453294">
            <w:pPr>
              <w:spacing w:after="0" w:line="240" w:lineRule="auto"/>
            </w:pPr>
            <w:r>
              <w:t>B10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8E36" w14:textId="77777777" w:rsidR="00000000" w:rsidRDefault="00453294">
            <w:pPr>
              <w:spacing w:after="0" w:line="240" w:lineRule="auto"/>
            </w:pPr>
            <w:r>
              <w:t>Global Evaluat</w:t>
            </w:r>
            <w:r>
              <w:t>ion Methods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8510" w14:textId="77777777" w:rsidR="00000000" w:rsidRDefault="00453294">
            <w:pPr>
              <w:spacing w:after="0" w:line="240" w:lineRule="auto"/>
              <w:jc w:val="center"/>
            </w:pPr>
            <w:r>
              <w:t>GAVI Joint Appraisals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6950" w14:textId="77777777" w:rsidR="00000000" w:rsidRDefault="00453294">
            <w:pPr>
              <w:spacing w:after="0" w:line="240" w:lineRule="auto"/>
            </w:pPr>
            <w:r>
              <w:t>GAVI Joint appraisals are conducted annually in GAVI supported countries to identify key areas for investment and potential partners to support those investments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0C3C" w14:textId="77777777" w:rsidR="00000000" w:rsidRDefault="00453294">
            <w:pPr>
              <w:spacing w:after="0" w:line="240" w:lineRule="auto"/>
            </w:pPr>
            <w:r>
              <w:t xml:space="preserve">Read: </w:t>
            </w:r>
            <w:hyperlink r:id="rId87" w:history="1">
              <w:r>
                <w:rPr>
                  <w:rStyle w:val="Hyperlink"/>
                </w:rPr>
                <w:t>How to plan and conduct a joint appraisal</w:t>
              </w:r>
            </w:hyperlink>
          </w:p>
          <w:p w14:paraId="17374266" w14:textId="77777777" w:rsidR="00000000" w:rsidRDefault="00453294">
            <w:pPr>
              <w:spacing w:after="0" w:line="240" w:lineRule="auto"/>
            </w:pPr>
          </w:p>
          <w:p w14:paraId="3DFB0C69" w14:textId="77777777" w:rsidR="00000000" w:rsidRDefault="00453294">
            <w:pPr>
              <w:spacing w:after="0" w:line="240" w:lineRule="auto"/>
            </w:pPr>
            <w:hyperlink r:id="rId88" w:history="1">
              <w:r>
                <w:rPr>
                  <w:rStyle w:val="Hyperlink"/>
                </w:rPr>
                <w:t>Frequently</w:t>
              </w:r>
              <w:r>
                <w:rPr>
                  <w:rStyle w:val="Hyperlink"/>
                </w:rPr>
                <w:t xml:space="preserve"> Asked questions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EB50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="Symbol" w:hAnsi="Symbo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DBB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776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37B" w14:textId="77777777" w:rsidR="00000000" w:rsidRDefault="00453294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</w:tr>
    </w:tbl>
    <w:p w14:paraId="79F9A87F" w14:textId="77777777" w:rsidR="00000000" w:rsidRDefault="00453294"/>
    <w:p w14:paraId="79C205FF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</w:rPr>
        <w:t> </w:t>
      </w:r>
    </w:p>
    <w:p w14:paraId="236CFD34" w14:textId="77777777" w:rsidR="00000000" w:rsidRDefault="00453294">
      <w:pPr>
        <w:divId w:val="42950970"/>
      </w:pPr>
    </w:p>
    <w:p w14:paraId="273A6738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Summary List of Priority Global Immunization Reading Materials </w:t>
      </w:r>
    </w:p>
    <w:p w14:paraId="06969315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>Immunization Implementation Guidelines</w:t>
      </w:r>
    </w:p>
    <w:p w14:paraId="599547E5" w14:textId="3D7AF84B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89" w:history="1">
        <w:r>
          <w:rPr>
            <w:rStyle w:val="Hyperlink"/>
          </w:rPr>
          <w:t>Immunization Essentials (Guide</w:t>
        </w:r>
      </w:hyperlink>
      <w:r>
        <w:rPr>
          <w:rStyle w:val="Hyperlink"/>
        </w:rPr>
        <w:t>lines)</w:t>
      </w:r>
      <w:r>
        <w:t xml:space="preserve">: </w:t>
      </w:r>
      <w:r>
        <w:rPr>
          <w:i/>
          <w:iCs/>
        </w:rPr>
        <w:t xml:space="preserve">The "bible" </w:t>
      </w:r>
      <w:r>
        <w:rPr>
          <w:i/>
          <w:iCs/>
        </w:rPr>
        <w:t>of the immunization world; how to implement immunization services. Covers all components, activities, strategies etc. in a comprehensive manner</w:t>
      </w:r>
      <w:r>
        <w:t xml:space="preserve"> </w:t>
      </w:r>
    </w:p>
    <w:p w14:paraId="4EF41008" w14:textId="7245477D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90" w:history="1">
        <w:r>
          <w:rPr>
            <w:rStyle w:val="Hyperlink"/>
          </w:rPr>
          <w:t>Immunization in Practice</w:t>
        </w:r>
      </w:hyperlink>
      <w:r>
        <w:rPr>
          <w:rStyle w:val="Hyperlink"/>
        </w:rPr>
        <w:t xml:space="preserve"> (Guidelines)</w:t>
      </w:r>
      <w:r>
        <w:t xml:space="preserve">: </w:t>
      </w:r>
      <w:r>
        <w:rPr>
          <w:i/>
          <w:iCs/>
        </w:rPr>
        <w:t>The "o</w:t>
      </w:r>
      <w:r>
        <w:rPr>
          <w:i/>
          <w:iCs/>
        </w:rPr>
        <w:t xml:space="preserve">ther bible" of the immunization world. This guide is focused more </w:t>
      </w:r>
      <w:proofErr w:type="gramStart"/>
      <w:r>
        <w:rPr>
          <w:i/>
          <w:iCs/>
        </w:rPr>
        <w:t>at</w:t>
      </w:r>
      <w:proofErr w:type="gramEnd"/>
      <w:r>
        <w:rPr>
          <w:i/>
          <w:iCs/>
        </w:rPr>
        <w:t xml:space="preserve"> the health worker and discusses how to implement sessions, how to plan for sessions, gives great details on injection practices, injection safety etc.</w:t>
      </w:r>
      <w:r>
        <w:t xml:space="preserve"> </w:t>
      </w:r>
    </w:p>
    <w:p w14:paraId="0417D5B5" w14:textId="7777777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91" w:history="1">
        <w:r>
          <w:rPr>
            <w:rStyle w:val="Hyperlink"/>
          </w:rPr>
          <w:t>Reaching Every District (RED) Guide</w:t>
        </w:r>
      </w:hyperlink>
      <w:r>
        <w:rPr>
          <w:rStyle w:val="Hyperlink"/>
        </w:rPr>
        <w:t>lines (African Region)</w:t>
      </w:r>
      <w:r>
        <w:t xml:space="preserve">: </w:t>
      </w:r>
      <w:r>
        <w:rPr>
          <w:i/>
          <w:iCs/>
        </w:rPr>
        <w:t>Main strategy for strengthening routine immunization services</w:t>
      </w:r>
      <w:r>
        <w:t xml:space="preserve"> </w:t>
      </w:r>
    </w:p>
    <w:p w14:paraId="216E2938" w14:textId="7777777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92" w:history="1">
        <w:r>
          <w:rPr>
            <w:rStyle w:val="Hyperlink"/>
          </w:rPr>
          <w:t>Increasing Immunization Coverage at the Health Facility Level</w:t>
        </w:r>
      </w:hyperlink>
      <w:r>
        <w:t>:</w:t>
      </w:r>
      <w:r>
        <w:rPr>
          <w:i/>
          <w:iCs/>
        </w:rPr>
        <w:t xml:space="preserve"> WHO handbo</w:t>
      </w:r>
      <w:r>
        <w:rPr>
          <w:i/>
          <w:iCs/>
        </w:rPr>
        <w:t>ok for strategies which shows how health workers can use their “data for action".</w:t>
      </w:r>
      <w:r>
        <w:t xml:space="preserve"> </w:t>
      </w:r>
    </w:p>
    <w:p w14:paraId="1A30001E" w14:textId="7777777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r>
        <w:rPr>
          <w:rFonts w:ascii="Times New Roman" w:hAnsi="Times New Roman"/>
          <w:sz w:val="14"/>
          <w:szCs w:val="14"/>
        </w:rPr>
        <w:t xml:space="preserve"> </w:t>
      </w:r>
      <w:hyperlink r:id="rId93" w:history="1">
        <w:r>
          <w:rPr>
            <w:rStyle w:val="Hyperlink"/>
          </w:rPr>
          <w:t>Guidelines for Supportive Supervision</w:t>
        </w:r>
      </w:hyperlink>
      <w:r>
        <w:t xml:space="preserve">: </w:t>
      </w:r>
      <w:r>
        <w:rPr>
          <w:i/>
          <w:iCs/>
        </w:rPr>
        <w:t>Detailed description of how to conduct supportive supervision for immunization</w:t>
      </w:r>
      <w:r>
        <w:t xml:space="preserve"> </w:t>
      </w:r>
    </w:p>
    <w:p w14:paraId="3E815045" w14:textId="7777777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94" w:history="1">
        <w:r>
          <w:rPr>
            <w:rStyle w:val="Hyperlink"/>
          </w:rPr>
          <w:t>India Immunization Program - medica</w:t>
        </w:r>
        <w:r>
          <w:rPr>
            <w:rStyle w:val="Hyperlink"/>
          </w:rPr>
          <w:t>l officer's guide for managing an immunization program</w:t>
        </w:r>
      </w:hyperlink>
      <w:r>
        <w:t xml:space="preserve"> </w:t>
      </w:r>
      <w:r>
        <w:rPr>
          <w:i/>
          <w:iCs/>
        </w:rPr>
        <w:t>: A very nicely done handbook covering all the basics for being a district health officer.  Made for India, but applicable for everywhere.</w:t>
      </w:r>
    </w:p>
    <w:p w14:paraId="01F14AF3" w14:textId="7777777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r>
        <w:rPr>
          <w:rFonts w:ascii="Times New Roman" w:hAnsi="Times New Roman"/>
          <w:sz w:val="14"/>
          <w:szCs w:val="14"/>
        </w:rPr>
        <w:t xml:space="preserve">  </w:t>
      </w:r>
      <w:hyperlink r:id="rId95" w:history="1">
        <w:r>
          <w:rPr>
            <w:rStyle w:val="Hyperlink"/>
          </w:rPr>
          <w:t xml:space="preserve">India Immunization Program Facilitator's guide for training medical officers on managing immunization programs </w:t>
        </w:r>
      </w:hyperlink>
      <w:r>
        <w:rPr>
          <w:i/>
          <w:iCs/>
        </w:rPr>
        <w:t xml:space="preserve"> : A very nicely done handbook covering all the basics for being a district health officer (facilitator version)</w:t>
      </w:r>
    </w:p>
    <w:p w14:paraId="20D504A0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>Global Immuniza</w:t>
      </w:r>
      <w:r>
        <w:rPr>
          <w:rFonts w:eastAsia="Times New Roman"/>
        </w:rPr>
        <w:t>tion Strategic Documents</w:t>
      </w:r>
    </w:p>
    <w:p w14:paraId="271F3862" w14:textId="5FE1EA66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96" w:history="1">
        <w:r>
          <w:rPr>
            <w:rStyle w:val="Hyperlink"/>
          </w:rPr>
          <w:t>Global Vaccine Action Plan 2011-2020</w:t>
        </w:r>
      </w:hyperlink>
      <w:r>
        <w:rPr>
          <w:rStyle w:val="Hyperlink"/>
        </w:rPr>
        <w:t xml:space="preserve"> (Global Action Plan)</w:t>
      </w:r>
      <w:r>
        <w:t xml:space="preserve">: </w:t>
      </w:r>
      <w:r>
        <w:rPr>
          <w:i/>
          <w:iCs/>
        </w:rPr>
        <w:t>The global goals, objectives and major strategies endorsed by immunization partners</w:t>
      </w:r>
      <w:r>
        <w:t xml:space="preserve"> f</w:t>
      </w:r>
      <w:r>
        <w:t>or the Decade of Vaccines; replaces the GIVS</w:t>
      </w:r>
    </w:p>
    <w:p w14:paraId="73C2D24D" w14:textId="7777777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97" w:history="1">
        <w:r>
          <w:rPr>
            <w:rStyle w:val="Hyperlink"/>
          </w:rPr>
          <w:t>Global Measles and Rubella Strategic Plan 2012-2020 (Global Action Plan)</w:t>
        </w:r>
      </w:hyperlink>
      <w:r>
        <w:t xml:space="preserve">: Global goals, </w:t>
      </w:r>
      <w:proofErr w:type="gramStart"/>
      <w:r>
        <w:t>objective</w:t>
      </w:r>
      <w:r>
        <w:t>s</w:t>
      </w:r>
      <w:proofErr w:type="gramEnd"/>
      <w:r>
        <w:t xml:space="preserve"> and major strategies to eliminate and eradicate measles and rubella</w:t>
      </w:r>
    </w:p>
    <w:p w14:paraId="140AD7D9" w14:textId="7777777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98" w:history="1">
        <w:r>
          <w:rPr>
            <w:rStyle w:val="Hyperlink"/>
          </w:rPr>
          <w:t>Global Eradication and Endgame Strategic Plan 2013-2018</w:t>
        </w:r>
      </w:hyperlink>
      <w:r>
        <w:t xml:space="preserve">: Global goals, </w:t>
      </w:r>
      <w:proofErr w:type="gramStart"/>
      <w:r>
        <w:t>objectives</w:t>
      </w:r>
      <w:proofErr w:type="gramEnd"/>
      <w:r>
        <w:t xml:space="preserve"> and major strategies</w:t>
      </w:r>
      <w:r>
        <w:t xml:space="preserve"> to eradicate polio and use polio resources to strengthen health systems</w:t>
      </w:r>
    </w:p>
    <w:p w14:paraId="7F076DAE" w14:textId="7777777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99" w:history="1">
        <w:r>
          <w:rPr>
            <w:rStyle w:val="Hyperlink"/>
          </w:rPr>
          <w:t xml:space="preserve">Global Routine Immunization Strategies and Practices (GRISP): </w:t>
        </w:r>
      </w:hyperlink>
      <w:r>
        <w:t xml:space="preserve"> a companion piece to the GVAP, f</w:t>
      </w:r>
      <w:r>
        <w:t>ocused on routine immunization</w:t>
      </w:r>
    </w:p>
    <w:p w14:paraId="5B07A1D9" w14:textId="7777777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100" w:history="1">
        <w:r>
          <w:rPr>
            <w:rStyle w:val="Hyperlink"/>
          </w:rPr>
          <w:t>WHO Vision &amp; Mission in Immunization and vaccines 2015-2030</w:t>
        </w:r>
      </w:hyperlink>
      <w:r>
        <w:t xml:space="preserve">: Strategic plan for immunizations from </w:t>
      </w:r>
      <w:r>
        <w:t>WHO</w:t>
      </w:r>
    </w:p>
    <w:p w14:paraId="4ED8E290" w14:textId="1504618A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101" w:history="1">
        <w:r>
          <w:rPr>
            <w:rStyle w:val="Hyperlink"/>
          </w:rPr>
          <w:t>WHO Core References materials list for all things related to immunization</w:t>
        </w:r>
      </w:hyperlink>
      <w:r>
        <w:t>:  excellent resource list by topic area, created i</w:t>
      </w:r>
      <w:r>
        <w:t xml:space="preserve">n January 2019. </w:t>
      </w:r>
    </w:p>
    <w:p w14:paraId="71789B41" w14:textId="77777777" w:rsidR="00000000" w:rsidRDefault="00453294">
      <w:pPr>
        <w:spacing w:line="240" w:lineRule="auto"/>
      </w:pPr>
    </w:p>
    <w:p w14:paraId="3AE910DD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>Key Global Immunization Research Articles: Determinants of Immunization</w:t>
      </w:r>
    </w:p>
    <w:p w14:paraId="1A38B8B1" w14:textId="77777777" w:rsidR="00000000" w:rsidRDefault="00453294">
      <w:pPr>
        <w:spacing w:line="240" w:lineRule="auto"/>
      </w:pPr>
    </w:p>
    <w:p w14:paraId="0D121FF1" w14:textId="0FDD752A" w:rsidR="00000000" w:rsidRDefault="00453294">
      <w:pPr>
        <w:pStyle w:val="ListParagraph"/>
        <w:numPr>
          <w:ilvl w:val="0"/>
          <w:numId w:val="12"/>
        </w:numPr>
        <w:spacing w:line="240" w:lineRule="auto"/>
      </w:pPr>
      <w:r>
        <w:rPr>
          <w:rStyle w:val="Hyperlink"/>
        </w:rPr>
        <w:t xml:space="preserve">Article:  </w:t>
      </w:r>
      <w:hyperlink r:id="rId102" w:history="1">
        <w:r>
          <w:rPr>
            <w:rStyle w:val="Hyperlink"/>
          </w:rPr>
          <w:t>Systematic</w:t>
        </w:r>
      </w:hyperlink>
      <w:r>
        <w:rPr>
          <w:rStyle w:val="Hyperlink"/>
        </w:rPr>
        <w:t xml:space="preserve"> </w:t>
      </w:r>
      <w:r>
        <w:rPr>
          <w:rStyle w:val="Hyperlink"/>
        </w:rPr>
        <w:t>Grey Literature Review of why children are not vaccinated (</w:t>
      </w:r>
      <w:proofErr w:type="spellStart"/>
      <w:r>
        <w:rPr>
          <w:rStyle w:val="Hyperlink"/>
        </w:rPr>
        <w:t>Favin</w:t>
      </w:r>
      <w:proofErr w:type="spellEnd"/>
      <w:r>
        <w:rPr>
          <w:rStyle w:val="Hyperlink"/>
        </w:rPr>
        <w:t xml:space="preserve"> et al, 2012)</w:t>
      </w:r>
    </w:p>
    <w:p w14:paraId="0B601887" w14:textId="430A0D9D" w:rsidR="00000000" w:rsidRDefault="00453294">
      <w:pPr>
        <w:pStyle w:val="ListParagraph"/>
        <w:numPr>
          <w:ilvl w:val="0"/>
          <w:numId w:val="12"/>
        </w:numPr>
        <w:spacing w:line="240" w:lineRule="auto"/>
      </w:pPr>
      <w:r>
        <w:rPr>
          <w:rStyle w:val="Hyperlink"/>
        </w:rPr>
        <w:t>Article:  Systematic Peer-</w:t>
      </w:r>
      <w:hyperlink r:id="rId103" w:history="1">
        <w:r>
          <w:rPr>
            <w:rStyle w:val="Hyperlink"/>
          </w:rPr>
          <w:t>reviewed</w:t>
        </w:r>
      </w:hyperlink>
      <w:r>
        <w:rPr>
          <w:rStyle w:val="Hyperlink"/>
        </w:rPr>
        <w:t xml:space="preserve"> Literature Review of reasons related to non-vaccination and under-vac</w:t>
      </w:r>
      <w:r>
        <w:rPr>
          <w:rStyle w:val="Hyperlink"/>
        </w:rPr>
        <w:t>cination of children in low and middle income countries (Rainey et al, 2011)</w:t>
      </w:r>
    </w:p>
    <w:p w14:paraId="00999A76" w14:textId="73381AB1" w:rsidR="00000000" w:rsidRDefault="00453294">
      <w:pPr>
        <w:pStyle w:val="ListParagraph"/>
        <w:numPr>
          <w:ilvl w:val="0"/>
          <w:numId w:val="12"/>
        </w:numPr>
        <w:spacing w:line="240" w:lineRule="auto"/>
      </w:pPr>
      <w:r>
        <w:rPr>
          <w:rStyle w:val="Hyperlink"/>
        </w:rPr>
        <w:t xml:space="preserve">Article:  Systematic review of </w:t>
      </w:r>
      <w:hyperlink r:id="rId104" w:history="1">
        <w:r>
          <w:rPr>
            <w:rStyle w:val="Hyperlink"/>
          </w:rPr>
          <w:t>vaccine</w:t>
        </w:r>
      </w:hyperlink>
      <w:r>
        <w:rPr>
          <w:rStyle w:val="Hyperlink"/>
        </w:rPr>
        <w:t xml:space="preserve"> hesitancy in the global context (</w:t>
      </w:r>
      <w:r>
        <w:t xml:space="preserve"> Larson, 2014)</w:t>
      </w:r>
    </w:p>
    <w:p w14:paraId="1FC742D0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>Key Global</w:t>
      </w:r>
      <w:r>
        <w:rPr>
          <w:rFonts w:eastAsia="Times New Roman"/>
        </w:rPr>
        <w:t xml:space="preserve"> Immunization Research Articles: Immunization Strategies</w:t>
      </w:r>
    </w:p>
    <w:p w14:paraId="3A5AE3E8" w14:textId="77777777" w:rsidR="00000000" w:rsidRDefault="00453294">
      <w:pPr>
        <w:spacing w:line="240" w:lineRule="auto"/>
      </w:pPr>
    </w:p>
    <w:p w14:paraId="4BE5FF0E" w14:textId="2C6E8FFA" w:rsidR="00000000" w:rsidRDefault="00453294">
      <w:pPr>
        <w:pStyle w:val="ListParagraph"/>
        <w:numPr>
          <w:ilvl w:val="0"/>
          <w:numId w:val="12"/>
        </w:numPr>
        <w:spacing w:line="240" w:lineRule="auto"/>
      </w:pPr>
      <w:r>
        <w:rPr>
          <w:rStyle w:val="Hyperlink"/>
        </w:rPr>
        <w:t xml:space="preserve">Article:  Systematic Review </w:t>
      </w:r>
      <w:hyperlink r:id="rId105" w:history="1">
        <w:r>
          <w:rPr>
            <w:rStyle w:val="Hyperlink"/>
          </w:rPr>
          <w:t>of</w:t>
        </w:r>
      </w:hyperlink>
      <w:r>
        <w:rPr>
          <w:rStyle w:val="Hyperlink"/>
        </w:rPr>
        <w:t xml:space="preserve"> Integrated Service Delivery with Immunizations 2012 and 2009</w:t>
      </w:r>
      <w:r>
        <w:t xml:space="preserve"> (Wallace et al, 2012 and </w:t>
      </w:r>
      <w:hyperlink r:id="rId106" w:history="1">
        <w:r>
          <w:rPr>
            <w:rStyle w:val="Hyperlink"/>
          </w:rPr>
          <w:t>2009</w:t>
        </w:r>
      </w:hyperlink>
      <w:r>
        <w:t>)</w:t>
      </w:r>
    </w:p>
    <w:p w14:paraId="51768E0F" w14:textId="2CFFF2DA" w:rsidR="00000000" w:rsidRDefault="00453294">
      <w:pPr>
        <w:pStyle w:val="ListParagraph"/>
        <w:numPr>
          <w:ilvl w:val="0"/>
          <w:numId w:val="12"/>
        </w:numPr>
        <w:spacing w:line="240" w:lineRule="auto"/>
      </w:pPr>
      <w:r>
        <w:rPr>
          <w:rStyle w:val="Hyperlink"/>
        </w:rPr>
        <w:t xml:space="preserve">Article:  Systematic Review of urban-based </w:t>
      </w:r>
      <w:hyperlink r:id="rId107" w:history="1">
        <w:r>
          <w:rPr>
            <w:rStyle w:val="Hyperlink"/>
          </w:rPr>
          <w:t>strategies</w:t>
        </w:r>
      </w:hyperlink>
      <w:r>
        <w:rPr>
          <w:rStyle w:val="Hyperlink"/>
        </w:rPr>
        <w:t xml:space="preserve"> to strengthen urban immunization systems (Nelson et al, 2016)</w:t>
      </w:r>
    </w:p>
    <w:p w14:paraId="4C34A459" w14:textId="29AB2216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108" w:history="1">
        <w:r>
          <w:rPr>
            <w:rStyle w:val="Hyperlink"/>
          </w:rPr>
          <w:t>Article:  Systematic review of strategies to improve routine immunization in low and middle income country settings</w:t>
        </w:r>
      </w:hyperlink>
      <w:r>
        <w:t xml:space="preserve"> (Ryman et al, 2008)</w:t>
      </w:r>
    </w:p>
    <w:p w14:paraId="1A91CE70" w14:textId="0F17EB48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109" w:history="1">
        <w:r>
          <w:rPr>
            <w:rStyle w:val="Hyperlink"/>
          </w:rPr>
          <w:t>Article:  Systematic review of strategies to improve routine immunization in any country settings</w:t>
        </w:r>
      </w:hyperlink>
      <w:r>
        <w:t xml:space="preserve"> (Briss et al, 2000)</w:t>
      </w:r>
    </w:p>
    <w:p w14:paraId="66A96BF0" w14:textId="284FBDE7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110" w:history="1">
        <w:r>
          <w:rPr>
            <w:rStyle w:val="Hyperlink"/>
          </w:rPr>
          <w:t xml:space="preserve">Article:  Systematic review of costs, </w:t>
        </w:r>
        <w:proofErr w:type="gramStart"/>
        <w:r>
          <w:rPr>
            <w:rStyle w:val="Hyperlink"/>
          </w:rPr>
          <w:t>effects</w:t>
        </w:r>
        <w:proofErr w:type="gramEnd"/>
        <w:r>
          <w:rPr>
            <w:rStyle w:val="Hyperlink"/>
          </w:rPr>
          <w:t xml:space="preserve"> and C/E of strategies to improve routine immunization in low and middle income country settings</w:t>
        </w:r>
      </w:hyperlink>
      <w:r>
        <w:t xml:space="preserve"> (Batt et al, 2004)</w:t>
      </w:r>
    </w:p>
    <w:p w14:paraId="0C9EBA72" w14:textId="73C112D4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111" w:history="1">
        <w:r>
          <w:rPr>
            <w:rStyle w:val="Hyperlink"/>
          </w:rPr>
          <w:t>Article:  Systematic review of strategies to improve routine immunization in low and middle income country settings, Cochrane Review</w:t>
        </w:r>
      </w:hyperlink>
      <w:r>
        <w:t xml:space="preserve"> (2012)</w:t>
      </w:r>
    </w:p>
    <w:p w14:paraId="40635C3D" w14:textId="274262DC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112" w:history="1">
        <w:r>
          <w:rPr>
            <w:rStyle w:val="Hyperlink"/>
          </w:rPr>
          <w:t xml:space="preserve">Article:  Overview </w:t>
        </w:r>
        <w:r>
          <w:rPr>
            <w:rStyle w:val="Hyperlink"/>
          </w:rPr>
          <w:t>of WHO/ UNICEF global immunization coverage estimate processes and procedures</w:t>
        </w:r>
      </w:hyperlink>
      <w:r>
        <w:t xml:space="preserve"> (Burton et al, 2009)</w:t>
      </w:r>
    </w:p>
    <w:p w14:paraId="3ED66C2C" w14:textId="5206A61E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113" w:history="1">
        <w:r>
          <w:rPr>
            <w:rStyle w:val="Hyperlink"/>
          </w:rPr>
          <w:t>Article:  Global Measles and Rubella Research Priorities Meeting Report</w:t>
        </w:r>
      </w:hyperlink>
      <w:r>
        <w:t xml:space="preserve"> (Goodson et al, 2012)</w:t>
      </w:r>
    </w:p>
    <w:p w14:paraId="4300AFEC" w14:textId="34E4356A" w:rsidR="00000000" w:rsidRDefault="00453294">
      <w:pPr>
        <w:pStyle w:val="ListParagraph"/>
        <w:numPr>
          <w:ilvl w:val="0"/>
          <w:numId w:val="12"/>
        </w:numPr>
        <w:spacing w:line="240" w:lineRule="auto"/>
      </w:pPr>
      <w:hyperlink r:id="rId114" w:history="1">
        <w:r>
          <w:rPr>
            <w:rStyle w:val="Hyperlink"/>
          </w:rPr>
          <w:t>Article: Global Routine Immunization Research Priorities Meeting Report</w:t>
        </w:r>
      </w:hyperlink>
      <w:r>
        <w:t xml:space="preserve"> (2011)</w:t>
      </w:r>
    </w:p>
    <w:p w14:paraId="0C69C5B5" w14:textId="77777777" w:rsidR="00000000" w:rsidRDefault="00453294">
      <w:pPr>
        <w:pStyle w:val="ListParagraph"/>
        <w:spacing w:line="240" w:lineRule="auto"/>
        <w:ind w:left="360" w:hanging="360"/>
      </w:pPr>
    </w:p>
    <w:p w14:paraId="50D2637B" w14:textId="77777777" w:rsidR="00000000" w:rsidRDefault="00453294">
      <w:pPr>
        <w:divId w:val="62334097"/>
      </w:pPr>
      <w:r>
        <w:t> </w:t>
      </w:r>
    </w:p>
    <w:p w14:paraId="323F3E66" w14:textId="77777777" w:rsidR="00000000" w:rsidRDefault="00453294">
      <w:pPr>
        <w:pStyle w:val="Heading1"/>
        <w:rPr>
          <w:rFonts w:eastAsia="Times New Roman"/>
        </w:rPr>
      </w:pPr>
      <w:r>
        <w:rPr>
          <w:rFonts w:eastAsia="Times New Roman"/>
        </w:rPr>
        <w:t>Important Routine Immunization Web Links</w:t>
      </w:r>
    </w:p>
    <w:p w14:paraId="3F49AB4B" w14:textId="77777777" w:rsidR="00000000" w:rsidRDefault="00453294">
      <w:pPr>
        <w:pStyle w:val="ListParagraph"/>
        <w:numPr>
          <w:ilvl w:val="0"/>
          <w:numId w:val="14"/>
        </w:numPr>
        <w:divId w:val="1323585723"/>
      </w:pPr>
      <w:hyperlink r:id="rId115" w:history="1">
        <w:r>
          <w:rPr>
            <w:rStyle w:val="Hyperlink"/>
            <w:iCs/>
          </w:rPr>
          <w:t>Technet-21</w:t>
        </w:r>
      </w:hyperlink>
      <w:r>
        <w:rPr>
          <w:iCs/>
        </w:rPr>
        <w:t>:  WHO-sponsored website with an excellent online community of immunization experts, excellent technical library of documents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33DC"/>
    <w:multiLevelType w:val="hybridMultilevel"/>
    <w:tmpl w:val="5FA6C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67E09"/>
    <w:multiLevelType w:val="hybridMultilevel"/>
    <w:tmpl w:val="735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2BA7"/>
    <w:multiLevelType w:val="hybridMultilevel"/>
    <w:tmpl w:val="C32E5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65AAF"/>
    <w:multiLevelType w:val="hybridMultilevel"/>
    <w:tmpl w:val="579C8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A5D1E"/>
    <w:multiLevelType w:val="hybridMultilevel"/>
    <w:tmpl w:val="02108C7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55DA43FB"/>
    <w:multiLevelType w:val="hybridMultilevel"/>
    <w:tmpl w:val="00DE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4A64"/>
    <w:multiLevelType w:val="multilevel"/>
    <w:tmpl w:val="2D5EE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94"/>
    <w:rsid w:val="004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3762D"/>
  <w15:chartTrackingRefBased/>
  <w15:docId w15:val="{D5734634-D4F5-4EE3-87F7-A4627B42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hint="default"/>
      <w:b/>
      <w:bCs/>
      <w:color w:val="365F91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Theme="minorEastAsia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mt-1">
    <w:name w:val="mt-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text-muted">
    <w:name w:val="text-mute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623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3235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cdc.gov\project\CGH_GID_Active\ISB-copy\ISB\AU%20Team\Non-Region_Team_Activities_and_Ideas\RI%20Training%20Module\Course-readings\RI-toolexamples-handout.pdf" TargetMode="External"/><Relationship Id="rId117" Type="http://schemas.openxmlformats.org/officeDocument/2006/relationships/theme" Target="theme/theme1.xml"/><Relationship Id="rId21" Type="http://schemas.openxmlformats.org/officeDocument/2006/relationships/hyperlink" Target="file:///\\cdc.gov\project\CGH_GID_Active\ISB-copy\ISB\AU%20Team\Non-Region_Team_Activities_and_Ideas\RI%20Training%20Module\Course-readings\1-immunization-essentials-book.pdf" TargetMode="External"/><Relationship Id="rId42" Type="http://schemas.openxmlformats.org/officeDocument/2006/relationships/hyperlink" Target="file:///\\cdc.gov\project\CGH_GID_Active\ISB-copy\ISB\AU%20Team\Non-Region_Team_Activities_and_Ideas\RI%20Training%20Module\Course-presentations\7-Cold%20chain%20logistics%20and%20issues.ppt" TargetMode="External"/><Relationship Id="rId47" Type="http://schemas.openxmlformats.org/officeDocument/2006/relationships/hyperlink" Target="https://watch.immunizationacademy.com/en/videos/8" TargetMode="External"/><Relationship Id="rId63" Type="http://schemas.openxmlformats.org/officeDocument/2006/relationships/hyperlink" Target="file:///\\cdc.gov\project\CGH_GID_Active\ISB-copy\ISB\AU%20Team\Non-Region_Team_Activities_and_Ideas\RI%20Training%20Module\Course-readings\6-IncreasingImmunCoverageatHFlevel.pdf" TargetMode="External"/><Relationship Id="rId68" Type="http://schemas.openxmlformats.org/officeDocument/2006/relationships/hyperlink" Target="https://watch.immunizationacademy.com/videos/630" TargetMode="External"/><Relationship Id="rId84" Type="http://schemas.openxmlformats.org/officeDocument/2006/relationships/hyperlink" Target="https://s3.amazonaws.com/wp-agility2/measles/wp-content/uploads/2020/11/measles_rubella_initiative_final_print.pdf" TargetMode="External"/><Relationship Id="rId89" Type="http://schemas.openxmlformats.org/officeDocument/2006/relationships/hyperlink" Target="file:///\\cdc.gov\project\CGH_GID_Active\ISB-copy\ISB\AU%20Team\Non-Region_Team_Activities_and_Ideas\RI%20Training%20Module\Course-readings\1-immunization-essentials-book.pdf" TargetMode="External"/><Relationship Id="rId112" Type="http://schemas.openxmlformats.org/officeDocument/2006/relationships/hyperlink" Target="file:///\\cdc.gov\project\CGH_GID_Active\ISB-copy\ISB\AU%20Team\Non-Region_Team_Activities_and_Ideas\RI%20Training%20Module\Course-supplementary-materials\articles\WUENIC_overview_Burton.pdf" TargetMode="External"/><Relationship Id="rId16" Type="http://schemas.openxmlformats.org/officeDocument/2006/relationships/hyperlink" Target="https://www.cdc.gov/mmwr/volumes/69/wr/pdfs/mm6945a7-H.pdf" TargetMode="External"/><Relationship Id="rId107" Type="http://schemas.openxmlformats.org/officeDocument/2006/relationships/hyperlink" Target="file:///\\cdc.gov\project\CGH_GID_Active\ISB-copy\ISB\AU%20Team\Non-Region_Team_Activities_and_Ideas\RI%20Training%20Module\Course-supplementary-materials\articles\Vaccine_urbansystematicreview_2016.pdf" TargetMode="External"/><Relationship Id="rId11" Type="http://schemas.openxmlformats.org/officeDocument/2006/relationships/hyperlink" Target="file:///\\cdc.gov\project\CGH_GID_Active\ISB-copy\ISB\AU%20Team\Non-Region_Team_Activities_and_Ideas\RI%20Training%20Module\Course-presentations\1-Other%20VPD%20Crash%20Course.PPTX" TargetMode="External"/><Relationship Id="rId32" Type="http://schemas.openxmlformats.org/officeDocument/2006/relationships/hyperlink" Target="https://watch.immunizationacademy.com/en/videos/7" TargetMode="External"/><Relationship Id="rId37" Type="http://schemas.openxmlformats.org/officeDocument/2006/relationships/hyperlink" Target="file:///\\cdc.gov\project\CGH_GID_Active\ISB-copy\ISB\AU%20Team\Non-Region_Team_Activities_and_Ideas\RI%20Training%20Module\Course-readings\4%20May%20ECHO%20Microplanning%20and%20supportive%20supervision%20template_4%20May.pdf" TargetMode="External"/><Relationship Id="rId53" Type="http://schemas.openxmlformats.org/officeDocument/2006/relationships/hyperlink" Target="file:///\\cdc.gov\project\CGH_GID_Active\ISB-copy\ISB\AU%20Team\Non-Region_Team_Activities_and_Ideas\RI%20Training%20Module\Course-readings\3-AFRO-RED-Guide_2008_FINAL.pdf" TargetMode="External"/><Relationship Id="rId58" Type="http://schemas.openxmlformats.org/officeDocument/2006/relationships/hyperlink" Target="file:///\\cdc.gov\project\CGH_GID_Active\ISB-copy\ISB\AU%20Team\Non-Region_Team_Activities_and_Ideas\RI%20Training%20Module\Course-presentations\12-CDC_UNVACC_REPORT_FINAL_v2.pdf" TargetMode="External"/><Relationship Id="rId74" Type="http://schemas.openxmlformats.org/officeDocument/2006/relationships/hyperlink" Target="file:///\\cdc.gov\project\CGH_GID_Active\ISB-copy\ISB\AU%20Team\Non-Region_Team_Activities_and_Ideas\RI%20Training%20Module\Course-presentations\6-Campaign%20and%20RI%20Services.pptx" TargetMode="External"/><Relationship Id="rId79" Type="http://schemas.openxmlformats.org/officeDocument/2006/relationships/hyperlink" Target="file:///\\cdc.gov\project\CGH_GID_Active\ISB-copy\ISB\AU%20Team\Non-Region_Team_Activities_and_Ideas\RI%20Training%20Module\Course-readings\MLM-HQ\MLM-Module7.pdf" TargetMode="External"/><Relationship Id="rId102" Type="http://schemas.openxmlformats.org/officeDocument/2006/relationships/hyperlink" Target="file:///\\cdc.gov\project\CGH_GID_Active\ISB-copy\ISB\AU%20Team\Non-Region_Team_Activities_and_Ideas\RI%20Training%20Module\Course-supplementary-materials\articles\unvax_greylit.pdf" TargetMode="External"/><Relationship Id="rId5" Type="http://schemas.openxmlformats.org/officeDocument/2006/relationships/hyperlink" Target="file:///\\cdc.gov\project\CGH_GID_Active\ISB-copy\ISB\AU%20Team\Non-Region_Team_Activities_and_Ideas\RI%20Training%20Module\RI%20training%20curriculum.docx" TargetMode="External"/><Relationship Id="rId90" Type="http://schemas.openxmlformats.org/officeDocument/2006/relationships/hyperlink" Target="file:///\\cdc.gov\project\CGH_GID_Active\ISB-copy\ISB\AU%20Team\Non-Region_Team_Activities_and_Ideas\RI%20Training%20Module\Course-readings\1-IMM-IN-Practice_complete_EN.pdf" TargetMode="External"/><Relationship Id="rId95" Type="http://schemas.openxmlformats.org/officeDocument/2006/relationships/hyperlink" Target="http://www.nihfw.org/pdf/NCHRC-Publications/ImmuniFacGui.pdf" TargetMode="External"/><Relationship Id="rId22" Type="http://schemas.openxmlformats.org/officeDocument/2006/relationships/hyperlink" Target="file:///\\cdc.gov\project\CGH_GID_Active\ISB-copy\ISB\AU%20Team\Non-Region_Team_Activities_and_Ideas\RI%20Training%20Module\Course-supplementary-materials\RI%20System%20Diagram\RI-System-Diagram.docx" TargetMode="External"/><Relationship Id="rId27" Type="http://schemas.openxmlformats.org/officeDocument/2006/relationships/hyperlink" Target="file:///\\cdc.gov\project\CGH_GID_Active\ISB-copy\ISB\AU%20Team\Non-Region_Team_Activities_and_Ideas\RI%20Training%20Module\Course-readings\MLM-HQ\MLM-Module5.pdf" TargetMode="External"/><Relationship Id="rId43" Type="http://schemas.openxmlformats.org/officeDocument/2006/relationships/hyperlink" Target="file:///\\cdc.gov\project\CGH_GID_Active\ISB-copy\ISB\AU%20Team\Non-Region_Team_Activities_and_Ideas\RI%20Training%20Module\Course-readings\1-immunization-essentials-book.pdf" TargetMode="External"/><Relationship Id="rId48" Type="http://schemas.openxmlformats.org/officeDocument/2006/relationships/hyperlink" Target="file:///\\cdc.gov\project\CGH_GID_Active\ISB-copy\ISB\AU%20Team\Non-Region_Team_Activities_and_Ideas\RI%20Training%20Module\Course-readings\MLM-HQ\MLM-Module2.pdf" TargetMode="External"/><Relationship Id="rId64" Type="http://schemas.openxmlformats.org/officeDocument/2006/relationships/hyperlink" Target="https://cdc-my.sharepoint.com/personal/ccu7_cdc_gov/Documents/Projects/Missed%20Opportunities/Cambodia/Cambodia%20MOV%20Workshop_%20Introduction_Part1_Background,%20types,%20SAGE%20statement.pptx?web=1" TargetMode="External"/><Relationship Id="rId69" Type="http://schemas.openxmlformats.org/officeDocument/2006/relationships/hyperlink" Target="https://watch.immunizationacademy.com/videos/634" TargetMode="External"/><Relationship Id="rId113" Type="http://schemas.openxmlformats.org/officeDocument/2006/relationships/hyperlink" Target="file:///\\cdc.gov\project\CGH_GID_Active\ISB-copy\ISB\AU%20Team\Non-Region_Team_Activities_and_Ideas\RI%20Training%20Module\Course-supplementary-materials\articles\measlesresearchreview2012.pdf" TargetMode="External"/><Relationship Id="rId80" Type="http://schemas.openxmlformats.org/officeDocument/2006/relationships/hyperlink" Target="http://www.who.int/immunization/monitoring_surveillance/Vaccination_coverage_cluster_survey_with_annexes.pdf" TargetMode="External"/><Relationship Id="rId85" Type="http://schemas.openxmlformats.org/officeDocument/2006/relationships/hyperlink" Target="http://polioeradication.org/wp-content/uploads/2019/06/english-polio-endgame-strategy.pdf" TargetMode="External"/><Relationship Id="rId12" Type="http://schemas.openxmlformats.org/officeDocument/2006/relationships/hyperlink" Target="file:///\\cdc.gov\project\CGH_GID_Active\ISB-copy\ISB\AU%20Team\Non-Region_Team_Activities_and_Ideas\RI%20Training%20Module\Course-readings\1-immunization-essentials-book.pdf" TargetMode="External"/><Relationship Id="rId17" Type="http://schemas.openxmlformats.org/officeDocument/2006/relationships/hyperlink" Target="https://www.immunizationagenda2030.org/images/documents/VisionStratagiy/BLS20116_IA_Visual-ID-DesignLayout_spread_009_WEB.pdf" TargetMode="External"/><Relationship Id="rId33" Type="http://schemas.openxmlformats.org/officeDocument/2006/relationships/hyperlink" Target="file:///\\cdc.gov\project\CGH_GID_Active\ISB-copy\ISB\AU%20Team\Non-Region_Team_Activities_and_Ideas\RI%20Training%20Module\Course-readings\Integrated%20Disease%20Surveillance.ppt" TargetMode="External"/><Relationship Id="rId38" Type="http://schemas.openxmlformats.org/officeDocument/2006/relationships/hyperlink" Target="file:///\\cdc.gov\project\CGH_GID_Active\ISB-copy\ISB\AU%20Team\Non-Region_Team_Activities_and_Ideas\RI%20Training%20Module\Course-readings\8-Guidelines_for_Supportive_Supervision%5b1%5d.pdf" TargetMode="External"/><Relationship Id="rId59" Type="http://schemas.openxmlformats.org/officeDocument/2006/relationships/hyperlink" Target="file:///\\cdc.gov\project\CGH_GID_Active\ISB-copy\ISB\AU%20Team\Non-Region_Team_Activities_and_Ideas\RI%20Training%20Module\Course-presentations\12-ImmBasics_Epid_unimm_Final_v2_0.pdf" TargetMode="External"/><Relationship Id="rId103" Type="http://schemas.openxmlformats.org/officeDocument/2006/relationships/hyperlink" Target="file:///\\cdc.gov\project\CGH_GID_Active\ISB-copy\ISB\AU%20Team\Non-Region_Team_Activities_and_Ideas\RI%20Training%20Module\Course-supplementary-materials\articles\unvax_peerlit.pdf" TargetMode="External"/><Relationship Id="rId108" Type="http://schemas.openxmlformats.org/officeDocument/2006/relationships/hyperlink" Target="file:///\\cdc.gov\project\CGH_GID_Active\ISB-copy\ISB\AU%20Team\Non-Region_Team_Activities_and_Ideas\RI%20Training%20Module\Course-supplementary-materials\articles\Ryman_Litreviewvaxstrategies.pdf" TargetMode="External"/><Relationship Id="rId54" Type="http://schemas.openxmlformats.org/officeDocument/2006/relationships/hyperlink" Target="https://watch.immunizationacademy.com/en/videos/38" TargetMode="External"/><Relationship Id="rId70" Type="http://schemas.openxmlformats.org/officeDocument/2006/relationships/hyperlink" Target="file:///\\cdc.gov\project\CGH_GID_Active\ISB-copy\ISB\AU%20Team\Non-Region_Team_Activities_and_Ideas\RI%20Training%20Module\Course-readings\MLM-HQ\MLM-Module3.pdf" TargetMode="External"/><Relationship Id="rId75" Type="http://schemas.openxmlformats.org/officeDocument/2006/relationships/hyperlink" Target="file:///\\cdc.gov\project\CGH_GID_Active\ISB-copy\ISB\AU%20Team\Non-Region_Team_Activities_and_Ideas\RI%20Training%20Module\Course-readings\14-NineOpportunities%5b1%5d.pdf" TargetMode="External"/><Relationship Id="rId91" Type="http://schemas.openxmlformats.org/officeDocument/2006/relationships/hyperlink" Target="http://www.who.int/immunization/programmes_systems/service_delivery/AFRO-RED_Aug2008.pdf" TargetMode="External"/><Relationship Id="rId96" Type="http://schemas.openxmlformats.org/officeDocument/2006/relationships/hyperlink" Target="file:///\\cdc.gov\project\CGH_GID_Active\ISB-copy\ISB\AU%20Team\Non-Region_Team_Activities_and_Ideas\RI%20Training%20Module\Course-supplementary-materials\reports-guides-manuals\GVAP2011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cdc.gov\project\CGH_GID_Active\ISB-copy\ISB\AU%20Team\Non-Region_Team_Activities_and_Ideas\RI%20Training%20Module\Course-readings\1-immunization-essentials-book.pdf" TargetMode="External"/><Relationship Id="rId23" Type="http://schemas.openxmlformats.org/officeDocument/2006/relationships/hyperlink" Target="file:///\\cdc.gov\project\CGH_GID_Active\ISB-copy\ISB\AU%20Team\Non-Region_Team_Activities_and_Ideas\RI%20Training%20Module\Course-supplementary-materials\RI%20System%20Diagram\EPI-framework.pdf" TargetMode="External"/><Relationship Id="rId28" Type="http://schemas.openxmlformats.org/officeDocument/2006/relationships/hyperlink" Target="https://learn.immunizationacademy.com/en-US" TargetMode="External"/><Relationship Id="rId49" Type="http://schemas.openxmlformats.org/officeDocument/2006/relationships/hyperlink" Target="file:///\\cdc.gov\project\CGH_GID_Active\ISB-copy\ISB\AU%20Team\Non-Region_Team_Activities_and_Ideas\RI%20Training%20Module\Course-readings\Immunization-In-Practice\IIP-Module8.pdf" TargetMode="External"/><Relationship Id="rId114" Type="http://schemas.openxmlformats.org/officeDocument/2006/relationships/hyperlink" Target="file:///\\cdc.gov\project\CGH_GID_Active\ISB-copy\ISB\AU%20Team\Non-Region_Team_Activities_and_Ideas\RI%20Training%20Module\Course-supplementary-materials\articles\vaccine-research-review-paper.pdf" TargetMode="External"/><Relationship Id="rId10" Type="http://schemas.openxmlformats.org/officeDocument/2006/relationships/hyperlink" Target="https://www.technet-21.org/index.php?option=com_resources&amp;task=downloadTrlFiles&amp;id=7095" TargetMode="External"/><Relationship Id="rId31" Type="http://schemas.openxmlformats.org/officeDocument/2006/relationships/hyperlink" Target="https://www.youtube.com/watch?v=ghQgHpSPaQo" TargetMode="External"/><Relationship Id="rId44" Type="http://schemas.openxmlformats.org/officeDocument/2006/relationships/hyperlink" Target="file:///\\cdc.gov\project\CGH_GID_Active\ISB-copy\ISB\AU%20Team\Non-Region_Team_Activities_and_Ideas\RI%20Training%20Module\Course-readings\Immunization-In-Practice\IIP-Module3.pdf" TargetMode="External"/><Relationship Id="rId52" Type="http://schemas.openxmlformats.org/officeDocument/2006/relationships/hyperlink" Target="file:///\\cdc.gov\project\CGH_GID_Active\ISB-copy\ISB\AU%20Team\Non-Region_Team_Activities_and_Ideas\RI%20Training%20Module\Course-presentations\5-Introduction-to-RED-strategy.pptx" TargetMode="External"/><Relationship Id="rId60" Type="http://schemas.openxmlformats.org/officeDocument/2006/relationships/hyperlink" Target="file:///\\cdc.gov\project\CGH_GID_Active\ISB-copy\ISB\AU%20Team\Non-Region_Team_Activities_and_Ideas\RI%20Training%20Module\Course-supplementary-materials\articles\13-Costs_Effects_CostEffectivenessofStrategies.pdf" TargetMode="External"/><Relationship Id="rId65" Type="http://schemas.openxmlformats.org/officeDocument/2006/relationships/hyperlink" Target="file:///\\cdc.gov\project\CGH_GID_Active\ISB-copy\ISB\AU%20Team\Non-Region_Team_Activities_and_Ideas\RI%20Training%20Module\Course-readings\MOVsystematicReview_Shridar.pdf" TargetMode="External"/><Relationship Id="rId73" Type="http://schemas.openxmlformats.org/officeDocument/2006/relationships/hyperlink" Target="file:///\\cdc.gov\project\CGH_GID_Active\ISB-copy\ISB\AU%20Team\Non-Region_Team_Activities_and_Ideas\RI%20Training%20Module\Course-readings\Immunization-In-Practice\IIP-Module6.pdf" TargetMode="External"/><Relationship Id="rId78" Type="http://schemas.openxmlformats.org/officeDocument/2006/relationships/hyperlink" Target="file:///\\cdc.gov\project\CGH_GID_Active\ISB-copy\ISB\AU%20Team\Non-Region_Team_Activities_and_Ideas\RI%20Training%20Module\Course-presentations\EPI_review_guide_May2012_final.doc" TargetMode="External"/><Relationship Id="rId81" Type="http://schemas.openxmlformats.org/officeDocument/2006/relationships/hyperlink" Target="file:///\\cdc.gov\project\CGH_GID_Active\ISB-copy\ISB\AU%20Team\Non-Region_Team_Activities_and_Ideas\RI%20Training%20Module\Course-presentations\vaccine-research-review-paper.pdf" TargetMode="External"/><Relationship Id="rId86" Type="http://schemas.openxmlformats.org/officeDocument/2006/relationships/hyperlink" Target="http://apps.who.int/iris/bitstream/10665/204500/1/9789241510103_eng.pdf" TargetMode="External"/><Relationship Id="rId94" Type="http://schemas.openxmlformats.org/officeDocument/2006/relationships/hyperlink" Target="http://www.nihfw.org/pdf/NCHRC-Publications/ImmuniHandbook.pdf" TargetMode="External"/><Relationship Id="rId99" Type="http://schemas.openxmlformats.org/officeDocument/2006/relationships/hyperlink" Target="http://apps.who.int/iris/bitstream/10665/204500/1/9789241510103_eng.pdf" TargetMode="External"/><Relationship Id="rId101" Type="http://schemas.openxmlformats.org/officeDocument/2006/relationships/hyperlink" Target="file:///\\cdc.gov\project\CGH_GID_Active\ISB-copy\ISB\AU%20Team\Non-Region_Team_Activities_and_Ideas\RI%20Training%20Module\Course-supplementary-materials\Core%20references\EPI%20core%20ref%20materials%20-%20(updated%2009Febr2019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dc.gov\project\CGH_GID_Active\ISB-copy\ISB\AU%20Team\Non-Region_Team_Activities_and_Ideas\RI%20Training%20Module\Course-supplementary-materials\Core%20references\EPI%20core%20ref%20materials%20-%20(updated%2009Febr2019).docx" TargetMode="External"/><Relationship Id="rId13" Type="http://schemas.openxmlformats.org/officeDocument/2006/relationships/hyperlink" Target="file:///\\cdc.gov\project\CGH_GID_Active\ISB-copy\ISB\AU%20Team\Non-Region_Team_Activities_and_Ideas\RI%20Training%20Module\Course-readings\Immunization-In-Practice\IIP-Module1.pdf" TargetMode="External"/><Relationship Id="rId18" Type="http://schemas.openxmlformats.org/officeDocument/2006/relationships/hyperlink" Target="https://www.immunizationagenda2030.org/" TargetMode="External"/><Relationship Id="rId39" Type="http://schemas.openxmlformats.org/officeDocument/2006/relationships/hyperlink" Target="file:///\\cdc.gov\project\CGH_GID_Active\ISB-copy\ISB\AU%20Team\Non-Region_Team_Activities_and_Ideas\RI%20Training%20Module\Course-readings\MLM-HQ\MLM-Module4.pdf" TargetMode="External"/><Relationship Id="rId109" Type="http://schemas.openxmlformats.org/officeDocument/2006/relationships/hyperlink" Target="file:///\\cdc.gov\project\CGH_GID_Active\ISB-copy\ISB\AU%20Team\Non-Region_Team_Activities_and_Ideas\RI%20Training%20Module\Course-supplementary-materials\articles\13-ReviewsofEvidenceRegardingInterventions.pdf" TargetMode="External"/><Relationship Id="rId34" Type="http://schemas.openxmlformats.org/officeDocument/2006/relationships/hyperlink" Target="file:///\\cdc.gov\project\CGH_GID_Active\ISB-copy\ISB\AU%20Team\Non-Region_Team_Activities_and_Ideas\RI%20Training%20Module\Course-readings\1-immunization-essentials-book.pdf" TargetMode="External"/><Relationship Id="rId50" Type="http://schemas.openxmlformats.org/officeDocument/2006/relationships/hyperlink" Target="file:///\\cdc.gov\project\CGH_GID_Active\ISB-copy\ISB\AU%20Team\Non-Region_Team_Activities_and_Ideas\RI%20Training%20Module\Course-presentations\4-Orientation_to_RI_Part-3_10APRIL2012.pptx" TargetMode="External"/><Relationship Id="rId55" Type="http://schemas.openxmlformats.org/officeDocument/2006/relationships/hyperlink" Target="https://watch.immunizationacademy.com/en/videos/39" TargetMode="External"/><Relationship Id="rId76" Type="http://schemas.openxmlformats.org/officeDocument/2006/relationships/hyperlink" Target="https://www.cdc.gov/globalhealth/immunization/docs/global-immunization-framework-508.pdf" TargetMode="External"/><Relationship Id="rId97" Type="http://schemas.openxmlformats.org/officeDocument/2006/relationships/hyperlink" Target="http://measlesrubellainitiative.org/wp-content/uploads/2013/06/Measles-Rubella-Strategic-Plan.pdf" TargetMode="External"/><Relationship Id="rId104" Type="http://schemas.openxmlformats.org/officeDocument/2006/relationships/hyperlink" Target="file:///\\cdc.gov\project\CGH_GID_Active\ISB-copy\ISB\AU%20Team\Non-Region_Team_Activities_and_Ideas\RI%20Training%20Module\Course-supplementary-materials\articles\vaccinehesitancy_2014.pdf" TargetMode="External"/><Relationship Id="rId7" Type="http://schemas.openxmlformats.org/officeDocument/2006/relationships/hyperlink" Target="file:///\\cdc.gov\project\CGH_GID_Active\ISB-copy\ISB\AU%20Team\Non-Region_Team_Activities_and_Ideas\RI%20Training%20Module\Course-readings\Immunization-In-Practice\IIP-Module1.pdf" TargetMode="External"/><Relationship Id="rId71" Type="http://schemas.openxmlformats.org/officeDocument/2006/relationships/hyperlink" Target="file:///\\cdc.gov\project\CGH_GID_Active\ISB-copy\ISB\AU%20Team\Non-Region_Team_Activities_and_Ideas\RI%20Training%20Module\Course-readings\Immunization-In-Practice\IIP-Module4.pdf" TargetMode="External"/><Relationship Id="rId92" Type="http://schemas.openxmlformats.org/officeDocument/2006/relationships/hyperlink" Target="file://cdc.gov/project/CGH_GID_Active/ISB/AU%20Team/Non-Region_Team_Activities_and_Ideas/RI%20Training%20Module/Course-readings/6-IncreasingImmunCoverageatHFlevel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cdc.gov\project\CGH_GID_Active\ISB-copy\ISB\AU%20Team\Non-Region_Team_Activities_and_Ideas\RI%20Training%20Module\Course-readings\RED-Microplanning-Guide_WHO.pdf" TargetMode="External"/><Relationship Id="rId24" Type="http://schemas.openxmlformats.org/officeDocument/2006/relationships/hyperlink" Target="file:///\\cdc.gov\project\CGH_GID_Active\ISB-copy\ISB\AU%20Team\Non-Region_Team_Activities_and_Ideas\RI%20Training%20Module\Course-presentations\3-Orientation_to_RI_Part-2_10APRIL2012.pptx" TargetMode="External"/><Relationship Id="rId40" Type="http://schemas.openxmlformats.org/officeDocument/2006/relationships/hyperlink" Target="https://www.youtube.com/watch?v=ghQgHpSPaQo" TargetMode="External"/><Relationship Id="rId45" Type="http://schemas.openxmlformats.org/officeDocument/2006/relationships/hyperlink" Target="https://learn.immunizationacademy.com/en-US" TargetMode="External"/><Relationship Id="rId66" Type="http://schemas.openxmlformats.org/officeDocument/2006/relationships/hyperlink" Target="http://www.who.int/immunization/programmes_systems/policies_strategies/MOV_Planning_webdraft.pdf" TargetMode="External"/><Relationship Id="rId87" Type="http://schemas.openxmlformats.org/officeDocument/2006/relationships/hyperlink" Target="http://www.gavi.org/library/gavi-documents/guidelines-and-forms/how-to-plan-and-conduct-a-joint-appraisal/" TargetMode="External"/><Relationship Id="rId110" Type="http://schemas.openxmlformats.org/officeDocument/2006/relationships/hyperlink" Target="file:///\\cdc.gov\project\CGH_GID_Active\ISB-copy\ISB\AU%20Team\Non-Region_Team_Activities_and_Ideas\RI%20Training%20Module\Course-supplementary-materials\articles\13-Costs_Effects_CostEffectivenessofStrategies.pdf" TargetMode="External"/><Relationship Id="rId115" Type="http://schemas.openxmlformats.org/officeDocument/2006/relationships/hyperlink" Target="http://www.technet-21.org/" TargetMode="External"/><Relationship Id="rId61" Type="http://schemas.openxmlformats.org/officeDocument/2006/relationships/hyperlink" Target="file:///\\cdc.gov\project\CGH_GID_Active\ISB-copy\ISB\AU%20Team\Non-Region_Team_Activities_and_Ideas\RI%20Training%20Module\Course-presentations\13%20-%20Strategies%20for%20Strengthening%20RI.pdf" TargetMode="External"/><Relationship Id="rId82" Type="http://schemas.openxmlformats.org/officeDocument/2006/relationships/hyperlink" Target="file:///\\cdc.gov\project\CGH_GID_Active\ISB-copy\ISB\AU%20Team\Non-Region_Team_Activities_and_Ideas\RI%20Training%20Module\Course-readings\1-immunization-essentials-book.pdf" TargetMode="External"/><Relationship Id="rId19" Type="http://schemas.openxmlformats.org/officeDocument/2006/relationships/hyperlink" Target="https://www.youtube.com/watch?v=W7x1lMqVvH4" TargetMode="External"/><Relationship Id="rId14" Type="http://schemas.openxmlformats.org/officeDocument/2006/relationships/hyperlink" Target="https://www.youtube.com/watch?v=W7x1lMqVvH4" TargetMode="External"/><Relationship Id="rId30" Type="http://schemas.openxmlformats.org/officeDocument/2006/relationships/hyperlink" Target="file:///\\cdc.gov\project\CGH_GID_Active\ISB-copy\ISB\AU%20Team\Non-Region_Team_Activities_and_Ideas\RI%20Training%20Module\Course-readings\4%20May%20ECHO%20Microplanning%20and%20supportive%20supervision%20template_4%20May.pdf" TargetMode="External"/><Relationship Id="rId35" Type="http://schemas.openxmlformats.org/officeDocument/2006/relationships/hyperlink" Target="file:///\\cdc.gov\project\CGH_GID_Active\ISB-copy\ISB\AU%20Team\Non-Region_Team_Activities_and_Ideas\RI%20Training%20Module\Course-readings\15-WHO-GFIMS-2007.pdf" TargetMode="External"/><Relationship Id="rId56" Type="http://schemas.openxmlformats.org/officeDocument/2006/relationships/hyperlink" Target="file:///\\cdc.gov\project\CGH_GID_Active\ISB-copy\ISB\AU%20Team\Non-Region_Team_Activities_and_Ideas\RI%20Training%20Module\Course-supplementary-materials\Routine%20Immunization%20case%20study\RI%20CASE%20STUDY%20FACILITATOR_ENGLISH_STOP%2049%20FINAL.docx" TargetMode="External"/><Relationship Id="rId77" Type="http://schemas.openxmlformats.org/officeDocument/2006/relationships/hyperlink" Target="file:///\\cdc.gov\project\CGH_GID_Active\ISB-copy\ISB\AU%20Team\Non-Region_Team_Activities_and_Ideas\RI%20Training%20Module\Course-presentations\Orientation_to_EPI_Reviews.pptx" TargetMode="External"/><Relationship Id="rId100" Type="http://schemas.openxmlformats.org/officeDocument/2006/relationships/hyperlink" Target="http://www.who.int/immunization/documents/general/WHO_Mission_VIsion_Immunization_Vaccines_2015_2030.pdf?ua=1" TargetMode="External"/><Relationship Id="rId105" Type="http://schemas.openxmlformats.org/officeDocument/2006/relationships/hyperlink" Target="file:///\\cdc.gov\project\CGH_GID_Active\ISB-copy\ISB\AU%20Team\Non-Region_Team_Activities_and_Ideas\RI%20Training%20Module\Course-supplementary-materials\articles\Wallace_Integration_LitReview_2012.pdf" TargetMode="External"/><Relationship Id="rId8" Type="http://schemas.openxmlformats.org/officeDocument/2006/relationships/hyperlink" Target="file:///\\cdc.gov\project\CGH_GID_Active\ISB-copy\ISB\AU%20Team\Non-Region_Team_Activities_and_Ideas\RI%20Training%20Module\Course-readings\3-AFRO-RED-Guide_2008_FINAL.pdf" TargetMode="External"/><Relationship Id="rId51" Type="http://schemas.openxmlformats.org/officeDocument/2006/relationships/hyperlink" Target="file:///\\cdc.gov\project\CGH_GID_Active\ISB-copy\ISB\AU%20Team\Non-Region_Team_Activities_and_Ideas\RI%20Training%20Module\Course-readings\1-immunization-essentials-book.pdf" TargetMode="External"/><Relationship Id="rId72" Type="http://schemas.openxmlformats.org/officeDocument/2006/relationships/hyperlink" Target="file:///\\cdc.gov\project\CGH_GID_Active\ISB-copy\ISB\AU%20Team\Non-Region_Team_Activities_and_Ideas\RI%20Training%20Module\Course-readings\Immunization-In-Practice\IIP-Module5.pdf" TargetMode="External"/><Relationship Id="rId93" Type="http://schemas.openxmlformats.org/officeDocument/2006/relationships/hyperlink" Target="file://cdc.gov/project/CGH_GID_Active/ISB/AU%20Team/Non-Region_Team_Activities_and_Ideas/RI%20Training%20Module/Course-readings/8-Guidelines_for_Supportive_Supervision%5b1%5d.pdf" TargetMode="External"/><Relationship Id="rId98" Type="http://schemas.openxmlformats.org/officeDocument/2006/relationships/hyperlink" Target="http://polioeradication.org/wp-content/uploads/2016/07/2.8_8IMB.pdf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\\cdc.gov\project\CGH_GID_Active\ISB-copy\ISB\AU%20Team\Non-Region_Team_Activities_and_Ideas\RI%20Training%20Module\Course-readings\1-immunization-essentials-book.pdf" TargetMode="External"/><Relationship Id="rId46" Type="http://schemas.openxmlformats.org/officeDocument/2006/relationships/hyperlink" Target="file:///\\cdc.gov\project\CGH_GID_Active\ISB-copy\ISB\AU%20Team\Non-Region_Team_Activities_and_Ideas\RI%20Training%20Module\Course-readings\7-Sustainable-Outreach-Services.pdf" TargetMode="External"/><Relationship Id="rId67" Type="http://schemas.openxmlformats.org/officeDocument/2006/relationships/hyperlink" Target="file:///\\cdc.gov\project\CGH_GID_Active\ISB-copy\ISB\AU%20Team\Non-Region_Team_Activities_and_Ideas\RI%20Training%20Module\Course-presentations\Cambodia%20MOV%20Workshop_%20Introduction_Part2_Lessons%20from%20MOV%20pilot%20countries.pptx.pptx" TargetMode="External"/><Relationship Id="rId116" Type="http://schemas.openxmlformats.org/officeDocument/2006/relationships/fontTable" Target="fontTable.xml"/><Relationship Id="rId20" Type="http://schemas.openxmlformats.org/officeDocument/2006/relationships/hyperlink" Target="file:///\\cdc.gov\project\CGH_GID_Active\ISB-copy\ISB\AU%20Team\Non-Region_Team_Activities_and_Ideas\RI%20Training%20Module\Course-presentations\2-Orientation_to_RI_Part-1_10APRIL2012.pptx" TargetMode="External"/><Relationship Id="rId41" Type="http://schemas.openxmlformats.org/officeDocument/2006/relationships/hyperlink" Target="https://learn.immunizationacademy.com/en-US" TargetMode="External"/><Relationship Id="rId62" Type="http://schemas.openxmlformats.org/officeDocument/2006/relationships/hyperlink" Target="file:///\\cdc.gov\project\CGH_GID_Active\ISB-copy\ISB\AU%20Team\Non-Region_Team_Activities_and_Ideas\RI%20Training%20Module\Course-presentations\13-ReviewsofEvidenceRegardingInterventions.pdf" TargetMode="External"/><Relationship Id="rId83" Type="http://schemas.openxmlformats.org/officeDocument/2006/relationships/hyperlink" Target="http://www.who.int/immunization/documents/general/WHO_Mission_VIsion_Immunization_Vaccines_2015_2030.pdf?ua=1" TargetMode="External"/><Relationship Id="rId88" Type="http://schemas.openxmlformats.org/officeDocument/2006/relationships/hyperlink" Target="http://www.gavi.org/library/gavi-documents/guidelines-and-forms/frequently-asked-questions-about-the-joint-appraisal/" TargetMode="External"/><Relationship Id="rId111" Type="http://schemas.openxmlformats.org/officeDocument/2006/relationships/hyperlink" Target="file:///\\cdc.gov\project\CGH_GID_Active\ISB-copy\ISB\AU%20Team\Non-Region_Team_Activities_and_Ideas\RI%20Training%20Module\Course-supplementary-materials\articles\cochrane_2012_strategies.pdf" TargetMode="External"/><Relationship Id="rId15" Type="http://schemas.openxmlformats.org/officeDocument/2006/relationships/hyperlink" Target="https://cdn.who.int/media/docs/default-source/immunization/wuenic---progress-and-challenges-15-july-2021.pdf?sfvrsn=b5eb9141_5&amp;download=true" TargetMode="External"/><Relationship Id="rId36" Type="http://schemas.openxmlformats.org/officeDocument/2006/relationships/hyperlink" Target="file:///\\cdc.gov\project\CGH_GID_Active\ISB-copy\ISB\AU%20Team\Non-Region_Team_Activities_and_Ideas\RI%20Training%20Module\Course-readings\MLM-HQ\MLM-Module8.pdf" TargetMode="External"/><Relationship Id="rId57" Type="http://schemas.openxmlformats.org/officeDocument/2006/relationships/hyperlink" Target="file:///\\cdc.gov\project\CGH_GID_Active\ISB-copy\ISB\AU%20Team\Non-Region_Team_Activities_and_Ideas\RI%20Training%20Module\Course-presentations\9-Parters-alliance-meetings.pptx" TargetMode="External"/><Relationship Id="rId106" Type="http://schemas.openxmlformats.org/officeDocument/2006/relationships/hyperlink" Target="file:///\\cdc.gov\project\CGH_GID_Active\ISB-copy\ISB\AU%20Team\Non-Region_Team_Activities_and_Ideas\RI%20Training%20Module\Course-supplementary-materials\articles\Wallace_integrationlitreview_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2241</Words>
  <Characters>24048</Characters>
  <Application>Microsoft Office Word</Application>
  <DocSecurity>0</DocSecurity>
  <Lines>200</Lines>
  <Paragraphs>52</Paragraphs>
  <ScaleCrop>false</ScaleCrop>
  <Company>Centers for Disease Control and Prevention</Company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CCU7</dc:creator>
  <cp:keywords/>
  <dc:description/>
  <cp:lastModifiedBy>Wallace, Aaron S. (CDC/DDPHSIS/CGH/GID)</cp:lastModifiedBy>
  <cp:revision>2</cp:revision>
  <dcterms:created xsi:type="dcterms:W3CDTF">2021-07-23T18:04:00Z</dcterms:created>
  <dcterms:modified xsi:type="dcterms:W3CDTF">2021-07-23T18:04:00Z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2021-07-14T13:08:41Z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34f5b450-3e23-4a90-b441-e439441421c9</vt:lpwstr>
  </property>
  <property fmtid="{D5CDD505-2E9C-101B-9397-08002B2CF9AE}" pid="9" name="MSIP_Label_8af03ff0-41c5-4c41-b55e-fabb8fae94be_ContentBits">
    <vt:lpwstr>0</vt:lpwstr>
  </property>
  <property fmtid="{D5CDD505-2E9C-101B-9397-08002B2CF9AE}" pid="10" name="ContentTypeId">
    <vt:lpwstr>0x0101007EA0B6AE90586B498E372650283B599F</vt:lpwstr>
  </property>
</Properties>
</file>